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31" w:rsidRPr="00A46831" w:rsidRDefault="00A46831" w:rsidP="00A46831">
      <w:pPr>
        <w:spacing w:after="0" w:line="240" w:lineRule="auto"/>
        <w:ind w:left="-284"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 МУНИЦИПАЛЬНОГО ОБРАЗОВАНИЯ</w:t>
      </w:r>
      <w:r w:rsidRPr="00A4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РОЖДЕСТВЕНСКОГО СЕЛЬСКОГО  ПОСЕЛЕНИЯ</w:t>
      </w:r>
    </w:p>
    <w:p w:rsidR="00A46831" w:rsidRPr="00A46831" w:rsidRDefault="00A46831" w:rsidP="00A46831">
      <w:pPr>
        <w:spacing w:after="0" w:line="240" w:lineRule="auto"/>
        <w:ind w:left="-284"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:rsidR="00A46831" w:rsidRPr="00A46831" w:rsidRDefault="00A46831" w:rsidP="00A46831">
      <w:pPr>
        <w:spacing w:after="0" w:line="240" w:lineRule="auto"/>
        <w:ind w:left="-284"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A46831" w:rsidRPr="00A46831" w:rsidRDefault="00A46831" w:rsidP="002C2A0E">
      <w:pPr>
        <w:spacing w:after="0" w:line="240" w:lineRule="auto"/>
        <w:ind w:left="-284" w:right="-5"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831" w:rsidRPr="00A46831" w:rsidRDefault="00A46831" w:rsidP="00A46831">
      <w:pPr>
        <w:keepNext/>
        <w:spacing w:after="0" w:line="240" w:lineRule="auto"/>
        <w:ind w:right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831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A46831" w:rsidRPr="00A46831" w:rsidRDefault="00A46831" w:rsidP="00A46831">
      <w:pPr>
        <w:spacing w:after="0" w:line="240" w:lineRule="auto"/>
        <w:ind w:left="1134" w:right="-1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46831" w:rsidRPr="00A46831" w:rsidRDefault="00A46831" w:rsidP="00A46831">
      <w:pPr>
        <w:spacing w:after="0" w:line="240" w:lineRule="auto"/>
        <w:ind w:left="-142" w:right="-9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68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468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2C2A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A468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 ноября   20</w:t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2C2A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</w:t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9F18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№</w:t>
      </w:r>
    </w:p>
    <w:p w:rsidR="00A46831" w:rsidRPr="00A46831" w:rsidRDefault="00A4683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46831" w:rsidRPr="00A46831" w:rsidRDefault="00A46831" w:rsidP="00A46831">
      <w:pPr>
        <w:pStyle w:val="ConsPlusTitle"/>
        <w:rPr>
          <w:rFonts w:ascii="Times New Roman" w:hAnsi="Times New Roman" w:cs="Times New Roman"/>
          <w:szCs w:val="22"/>
        </w:rPr>
      </w:pPr>
      <w:r w:rsidRPr="00A46831">
        <w:rPr>
          <w:rFonts w:ascii="Times New Roman" w:hAnsi="Times New Roman" w:cs="Times New Roman"/>
          <w:szCs w:val="22"/>
        </w:rPr>
        <w:t>«</w:t>
      </w:r>
      <w:r w:rsidR="00653F06" w:rsidRPr="00A46831">
        <w:rPr>
          <w:rFonts w:ascii="Times New Roman" w:hAnsi="Times New Roman" w:cs="Times New Roman"/>
          <w:szCs w:val="22"/>
        </w:rPr>
        <w:t xml:space="preserve">ОБ УСТАНОВЛЕНИИ </w:t>
      </w:r>
      <w:r w:rsidRPr="00A46831">
        <w:rPr>
          <w:rFonts w:ascii="Times New Roman" w:hAnsi="Times New Roman" w:cs="Times New Roman"/>
          <w:szCs w:val="22"/>
        </w:rPr>
        <w:t>НА ТЕРРИТОРИИ</w:t>
      </w:r>
    </w:p>
    <w:p w:rsidR="00A46831" w:rsidRPr="00A46831" w:rsidRDefault="00A46831" w:rsidP="00A46831">
      <w:pPr>
        <w:pStyle w:val="ConsPlusTitle"/>
        <w:rPr>
          <w:rFonts w:ascii="Times New Roman" w:hAnsi="Times New Roman" w:cs="Times New Roman"/>
          <w:szCs w:val="22"/>
        </w:rPr>
      </w:pPr>
      <w:r w:rsidRPr="00A46831">
        <w:rPr>
          <w:rFonts w:ascii="Times New Roman" w:hAnsi="Times New Roman" w:cs="Times New Roman"/>
          <w:szCs w:val="22"/>
        </w:rPr>
        <w:t xml:space="preserve"> РОЖДЕСТВЕНСКОГО СЕЛЬСКОГО ПОСЕЛЕНИЯ</w:t>
      </w:r>
    </w:p>
    <w:p w:rsidR="00653F06" w:rsidRPr="00A46831" w:rsidRDefault="00A46831" w:rsidP="00A46831">
      <w:pPr>
        <w:pStyle w:val="ConsPlusTitle"/>
        <w:rPr>
          <w:rFonts w:ascii="Times New Roman" w:hAnsi="Times New Roman" w:cs="Times New Roman"/>
          <w:szCs w:val="22"/>
        </w:rPr>
      </w:pPr>
      <w:r w:rsidRPr="00A46831">
        <w:rPr>
          <w:rFonts w:ascii="Times New Roman" w:hAnsi="Times New Roman" w:cs="Times New Roman"/>
          <w:szCs w:val="22"/>
        </w:rPr>
        <w:t xml:space="preserve"> </w:t>
      </w:r>
      <w:r w:rsidR="00653F06" w:rsidRPr="00A46831">
        <w:rPr>
          <w:rFonts w:ascii="Times New Roman" w:hAnsi="Times New Roman" w:cs="Times New Roman"/>
          <w:szCs w:val="22"/>
        </w:rPr>
        <w:t>НАЛОГА НА ИМУЩЕСТВО ФИЗИЧЕСКИХ ЛИЦ</w:t>
      </w:r>
      <w:r w:rsidR="009F1889">
        <w:rPr>
          <w:rFonts w:ascii="Times New Roman" w:hAnsi="Times New Roman" w:cs="Times New Roman"/>
          <w:szCs w:val="22"/>
        </w:rPr>
        <w:t xml:space="preserve"> НА 202</w:t>
      </w:r>
      <w:r w:rsidR="002C2A0E">
        <w:rPr>
          <w:rFonts w:ascii="Times New Roman" w:hAnsi="Times New Roman" w:cs="Times New Roman"/>
          <w:szCs w:val="22"/>
        </w:rPr>
        <w:t>3</w:t>
      </w:r>
      <w:r w:rsidR="0060015D">
        <w:rPr>
          <w:rFonts w:ascii="Times New Roman" w:hAnsi="Times New Roman" w:cs="Times New Roman"/>
          <w:szCs w:val="22"/>
        </w:rPr>
        <w:t xml:space="preserve"> год</w:t>
      </w:r>
      <w:r w:rsidRPr="00A46831">
        <w:rPr>
          <w:rFonts w:ascii="Times New Roman" w:hAnsi="Times New Roman" w:cs="Times New Roman"/>
          <w:szCs w:val="22"/>
        </w:rPr>
        <w:t>»</w:t>
      </w:r>
    </w:p>
    <w:p w:rsidR="00653F06" w:rsidRPr="00A46831" w:rsidRDefault="00653F06">
      <w:pPr>
        <w:spacing w:after="1"/>
        <w:rPr>
          <w:rFonts w:ascii="Times New Roman" w:hAnsi="Times New Roman" w:cs="Times New Roman"/>
        </w:rPr>
      </w:pP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831" w:rsidRDefault="00653F06" w:rsidP="00A46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8" w:history="1">
        <w:r w:rsidRPr="00C02E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</w:t>
      </w:r>
      <w:r w:rsidR="00A46831">
        <w:rPr>
          <w:rFonts w:ascii="Times New Roman" w:hAnsi="Times New Roman" w:cs="Times New Roman"/>
          <w:sz w:val="28"/>
          <w:szCs w:val="28"/>
        </w:rPr>
        <w:t xml:space="preserve">го образования Рождественского сельского поселения </w:t>
      </w:r>
    </w:p>
    <w:p w:rsidR="00A46831" w:rsidRPr="00BD3C9B" w:rsidRDefault="00A46831" w:rsidP="00A468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3C9B">
        <w:rPr>
          <w:rFonts w:ascii="Times New Roman" w:hAnsi="Times New Roman" w:cs="Times New Roman"/>
          <w:b/>
          <w:sz w:val="28"/>
          <w:szCs w:val="28"/>
        </w:rPr>
        <w:t>Совет депутатов Рождественского сельского поселения</w:t>
      </w:r>
    </w:p>
    <w:p w:rsidR="00A46831" w:rsidRDefault="00A46831" w:rsidP="00A468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9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653F06" w:rsidRPr="00C02E09" w:rsidRDefault="00653F06" w:rsidP="00CD1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</w:t>
      </w:r>
      <w:r w:rsidR="00A46831">
        <w:rPr>
          <w:rFonts w:ascii="Times New Roman" w:hAnsi="Times New Roman" w:cs="Times New Roman"/>
          <w:sz w:val="28"/>
          <w:szCs w:val="28"/>
        </w:rPr>
        <w:t xml:space="preserve">азования Рождественского сельского поселения </w:t>
      </w:r>
      <w:r w:rsidR="00A46831" w:rsidRPr="00C02E09">
        <w:rPr>
          <w:rFonts w:ascii="Times New Roman" w:hAnsi="Times New Roman" w:cs="Times New Roman"/>
          <w:sz w:val="28"/>
          <w:szCs w:val="28"/>
        </w:rPr>
        <w:t>налог</w:t>
      </w:r>
      <w:r w:rsidRPr="00C02E09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(далее - налог).</w:t>
      </w:r>
    </w:p>
    <w:p w:rsidR="00653F06" w:rsidRPr="00C02E09" w:rsidRDefault="00C02E09" w:rsidP="00CD1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>. Установить на территории муниципального образ</w:t>
      </w:r>
      <w:r w:rsidR="00A46831">
        <w:rPr>
          <w:rFonts w:ascii="Times New Roman" w:hAnsi="Times New Roman" w:cs="Times New Roman"/>
          <w:sz w:val="28"/>
          <w:szCs w:val="28"/>
        </w:rPr>
        <w:t xml:space="preserve">ования Рождественского сельского поселения </w:t>
      </w:r>
      <w:r w:rsidR="00653F06"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 исходя из кадастровой стоимости объекта налогообложения: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928" w:type="dxa"/>
          </w:tcPr>
          <w:p w:rsidR="00653F06" w:rsidRPr="00C02E09" w:rsidRDefault="000F43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C02E09" w:rsidRDefault="000F43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C02E09" w:rsidRDefault="000F43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 w:rsidP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Гаражи и </w:t>
            </w:r>
            <w:proofErr w:type="gramStart"/>
            <w:r w:rsidR="002C2A0E" w:rsidRPr="00C02E09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-места</w:t>
            </w:r>
            <w:proofErr w:type="gram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1928" w:type="dxa"/>
          </w:tcPr>
          <w:p w:rsidR="00653F06" w:rsidRPr="00C02E09" w:rsidRDefault="000F43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C02E09" w:rsidRDefault="000F43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статьи 378.2</w:t>
              </w:r>
            </w:hyperlink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10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абзацем вторым пункта 10 статьи 378.2</w:t>
              </w:r>
            </w:hyperlink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C02E09" w:rsidRDefault="000F43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53F06" w:rsidRPr="00C02E09">
        <w:tc>
          <w:tcPr>
            <w:tcW w:w="7143" w:type="dxa"/>
          </w:tcPr>
          <w:p w:rsidR="00653F06" w:rsidRPr="00C02E09" w:rsidRDefault="00653F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C02E09" w:rsidRDefault="000F43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53F06" w:rsidRPr="00C02E09" w:rsidRDefault="00F11489" w:rsidP="001C0567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F11489">
        <w:rPr>
          <w:rFonts w:ascii="Times New Roman" w:hAnsi="Times New Roman" w:cs="Times New Roman"/>
          <w:sz w:val="24"/>
          <w:szCs w:val="24"/>
        </w:rPr>
        <w:t xml:space="preserve">     </w:t>
      </w:r>
      <w:r w:rsidR="00F17B02">
        <w:rPr>
          <w:rFonts w:ascii="Times New Roman" w:hAnsi="Times New Roman" w:cs="Times New Roman"/>
          <w:sz w:val="24"/>
          <w:szCs w:val="24"/>
        </w:rPr>
        <w:t xml:space="preserve">    3.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 Признать утратившим силу с 01.01.20</w:t>
      </w:r>
      <w:r w:rsidR="00C02E09" w:rsidRPr="00C02E09">
        <w:rPr>
          <w:rFonts w:ascii="Times New Roman" w:hAnsi="Times New Roman" w:cs="Times New Roman"/>
          <w:sz w:val="28"/>
          <w:szCs w:val="28"/>
        </w:rPr>
        <w:t>2</w:t>
      </w:r>
      <w:r w:rsidR="009F1889">
        <w:rPr>
          <w:rFonts w:ascii="Times New Roman" w:hAnsi="Times New Roman" w:cs="Times New Roman"/>
          <w:sz w:val="28"/>
          <w:szCs w:val="28"/>
        </w:rPr>
        <w:t>2</w:t>
      </w:r>
      <w:r w:rsidR="00423521">
        <w:rPr>
          <w:rFonts w:ascii="Times New Roman" w:hAnsi="Times New Roman" w:cs="Times New Roman"/>
          <w:sz w:val="28"/>
          <w:szCs w:val="28"/>
        </w:rPr>
        <w:t>года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53F06" w:rsidRPr="00C02E0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423521">
        <w:rPr>
          <w:rFonts w:ascii="Times New Roman" w:hAnsi="Times New Roman" w:cs="Times New Roman"/>
          <w:sz w:val="28"/>
          <w:szCs w:val="28"/>
        </w:rPr>
        <w:t xml:space="preserve"> совета депутатов Рождественского сельского поселения  № </w:t>
      </w:r>
      <w:r w:rsidR="002C2A0E">
        <w:rPr>
          <w:rFonts w:ascii="Times New Roman" w:hAnsi="Times New Roman" w:cs="Times New Roman"/>
          <w:sz w:val="28"/>
          <w:szCs w:val="28"/>
        </w:rPr>
        <w:t>65</w:t>
      </w:r>
      <w:r w:rsidR="009F1889">
        <w:rPr>
          <w:rFonts w:ascii="Times New Roman" w:hAnsi="Times New Roman" w:cs="Times New Roman"/>
          <w:sz w:val="28"/>
          <w:szCs w:val="28"/>
        </w:rPr>
        <w:t xml:space="preserve"> от 1</w:t>
      </w:r>
      <w:r w:rsidR="002C2A0E">
        <w:rPr>
          <w:rFonts w:ascii="Times New Roman" w:hAnsi="Times New Roman" w:cs="Times New Roman"/>
          <w:sz w:val="28"/>
          <w:szCs w:val="28"/>
        </w:rPr>
        <w:t>8</w:t>
      </w:r>
      <w:r w:rsidR="00423521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9F1889">
        <w:rPr>
          <w:rFonts w:ascii="Times New Roman" w:hAnsi="Times New Roman" w:cs="Times New Roman"/>
          <w:sz w:val="28"/>
          <w:szCs w:val="28"/>
        </w:rPr>
        <w:t>2</w:t>
      </w:r>
      <w:r w:rsidR="002C2A0E">
        <w:rPr>
          <w:rFonts w:ascii="Times New Roman" w:hAnsi="Times New Roman" w:cs="Times New Roman"/>
          <w:sz w:val="28"/>
          <w:szCs w:val="28"/>
        </w:rPr>
        <w:t>1</w:t>
      </w:r>
      <w:r w:rsidR="00423521">
        <w:rPr>
          <w:rFonts w:ascii="Times New Roman" w:hAnsi="Times New Roman" w:cs="Times New Roman"/>
          <w:sz w:val="28"/>
          <w:szCs w:val="28"/>
        </w:rPr>
        <w:t xml:space="preserve"> г» Об установлении на территории МО Рождественского сельского поселения  налога на</w:t>
      </w:r>
      <w:r w:rsidR="00C15F39">
        <w:rPr>
          <w:rFonts w:ascii="Times New Roman" w:hAnsi="Times New Roman" w:cs="Times New Roman"/>
          <w:sz w:val="28"/>
          <w:szCs w:val="28"/>
        </w:rPr>
        <w:t xml:space="preserve"> </w:t>
      </w:r>
      <w:r w:rsidR="009F1889">
        <w:rPr>
          <w:rFonts w:ascii="Times New Roman" w:hAnsi="Times New Roman" w:cs="Times New Roman"/>
          <w:sz w:val="28"/>
          <w:szCs w:val="28"/>
        </w:rPr>
        <w:t>имущество физических лиц на 202</w:t>
      </w:r>
      <w:r w:rsidR="002C2A0E">
        <w:rPr>
          <w:rFonts w:ascii="Times New Roman" w:hAnsi="Times New Roman" w:cs="Times New Roman"/>
          <w:sz w:val="28"/>
          <w:szCs w:val="28"/>
        </w:rPr>
        <w:t>2</w:t>
      </w:r>
      <w:r w:rsidR="0042352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02E09" w:rsidRPr="00C02E09" w:rsidRDefault="001C0567" w:rsidP="00CD1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E09" w:rsidRPr="00C02E09">
        <w:rPr>
          <w:rFonts w:ascii="Times New Roman" w:hAnsi="Times New Roman" w:cs="Times New Roman"/>
          <w:sz w:val="28"/>
          <w:szCs w:val="28"/>
        </w:rPr>
        <w:t>. Настоящее решение под</w:t>
      </w:r>
      <w:r w:rsidR="00F11489">
        <w:rPr>
          <w:rFonts w:ascii="Times New Roman" w:hAnsi="Times New Roman" w:cs="Times New Roman"/>
          <w:sz w:val="28"/>
          <w:szCs w:val="28"/>
        </w:rPr>
        <w:t>лежит официальному опубликованию в информационные бюллетени «Рождественский вестник» и размещению на официальном сайте Рождественского сельского поселения.</w:t>
      </w:r>
    </w:p>
    <w:p w:rsidR="00653F06" w:rsidRDefault="001C0567" w:rsidP="00CD1A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E09" w:rsidRPr="00C02E09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2C2A0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02E09" w:rsidRPr="00C02E09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CD1A08" w:rsidRDefault="00CD1A08" w:rsidP="00CD1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1889" w:rsidRDefault="009F1889" w:rsidP="00CD1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067593" w:rsidRPr="00067593" w:rsidRDefault="009F1889" w:rsidP="00CD1A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7593" w:rsidRPr="000675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7593" w:rsidRPr="00067593">
        <w:rPr>
          <w:rFonts w:ascii="Times New Roman" w:hAnsi="Times New Roman" w:cs="Times New Roman"/>
          <w:sz w:val="28"/>
          <w:szCs w:val="28"/>
        </w:rPr>
        <w:tab/>
      </w:r>
      <w:r w:rsidR="000675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593" w:rsidRPr="000675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М.Е. Заславский </w:t>
      </w:r>
    </w:p>
    <w:p w:rsidR="00C02E09" w:rsidRPr="00C02E09" w:rsidRDefault="00C02E09" w:rsidP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02E09" w:rsidRPr="00C02E09" w:rsidSect="00F22FEB">
      <w:headerReference w:type="default" r:id="rId1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A1" w:rsidRDefault="00F809A1" w:rsidP="002C2A0E">
      <w:pPr>
        <w:spacing w:after="0" w:line="240" w:lineRule="auto"/>
      </w:pPr>
      <w:r>
        <w:separator/>
      </w:r>
    </w:p>
  </w:endnote>
  <w:endnote w:type="continuationSeparator" w:id="0">
    <w:p w:rsidR="00F809A1" w:rsidRDefault="00F809A1" w:rsidP="002C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A1" w:rsidRDefault="00F809A1" w:rsidP="002C2A0E">
      <w:pPr>
        <w:spacing w:after="0" w:line="240" w:lineRule="auto"/>
      </w:pPr>
      <w:r>
        <w:separator/>
      </w:r>
    </w:p>
  </w:footnote>
  <w:footnote w:type="continuationSeparator" w:id="0">
    <w:p w:rsidR="00F809A1" w:rsidRDefault="00F809A1" w:rsidP="002C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0E" w:rsidRPr="00FB6988" w:rsidRDefault="002C2A0E">
    <w:pPr>
      <w:pStyle w:val="a5"/>
      <w:rPr>
        <w:b/>
        <w:sz w:val="40"/>
        <w:szCs w:val="40"/>
      </w:rPr>
    </w:pPr>
    <w:r w:rsidRPr="00FB6988">
      <w:rPr>
        <w:b/>
        <w:sz w:val="40"/>
        <w:szCs w:val="40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F06"/>
    <w:rsid w:val="00067593"/>
    <w:rsid w:val="000A67EF"/>
    <w:rsid w:val="000F431E"/>
    <w:rsid w:val="001669E5"/>
    <w:rsid w:val="001C0567"/>
    <w:rsid w:val="002C2A0E"/>
    <w:rsid w:val="003907BD"/>
    <w:rsid w:val="00423521"/>
    <w:rsid w:val="00474C87"/>
    <w:rsid w:val="0047664C"/>
    <w:rsid w:val="004D44E6"/>
    <w:rsid w:val="004E3BCC"/>
    <w:rsid w:val="005029A8"/>
    <w:rsid w:val="0060015D"/>
    <w:rsid w:val="00620B2F"/>
    <w:rsid w:val="00653F06"/>
    <w:rsid w:val="00787C64"/>
    <w:rsid w:val="008357A9"/>
    <w:rsid w:val="009B124A"/>
    <w:rsid w:val="009F1889"/>
    <w:rsid w:val="00A0281D"/>
    <w:rsid w:val="00A46831"/>
    <w:rsid w:val="00C02E09"/>
    <w:rsid w:val="00C15F39"/>
    <w:rsid w:val="00CC0214"/>
    <w:rsid w:val="00CD1A08"/>
    <w:rsid w:val="00D30D04"/>
    <w:rsid w:val="00D43B46"/>
    <w:rsid w:val="00E31685"/>
    <w:rsid w:val="00E97559"/>
    <w:rsid w:val="00F11489"/>
    <w:rsid w:val="00F17B02"/>
    <w:rsid w:val="00F22FEB"/>
    <w:rsid w:val="00F809A1"/>
    <w:rsid w:val="00F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8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A0E"/>
  </w:style>
  <w:style w:type="paragraph" w:styleId="a7">
    <w:name w:val="footer"/>
    <w:basedOn w:val="a"/>
    <w:link w:val="a8"/>
    <w:uiPriority w:val="99"/>
    <w:unhideWhenUsed/>
    <w:rsid w:val="002C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7EE4EF0F68F1D74B2C745614A2185CF8648BE35F4C3F68C05D92F156914CED16AFFE35M1e0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1" Type="http://schemas.openxmlformats.org/officeDocument/2006/relationships/hyperlink" Target="consultantplus://offline/ref=0169FD2CE74E13BAA3A47EE4EF0F68F1D7452F71561BA2185CF8648BE35F4C3F68C05D92F156914CED16AFFE35M1e0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grigoryevaaa</cp:lastModifiedBy>
  <cp:revision>6</cp:revision>
  <cp:lastPrinted>2022-11-17T09:46:00Z</cp:lastPrinted>
  <dcterms:created xsi:type="dcterms:W3CDTF">2022-11-14T11:08:00Z</dcterms:created>
  <dcterms:modified xsi:type="dcterms:W3CDTF">2022-11-17T09:46:00Z</dcterms:modified>
</cp:coreProperties>
</file>