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4A" w:rsidRPr="0082014A" w:rsidRDefault="0082014A" w:rsidP="0082014A">
      <w:pPr>
        <w:widowControl w:val="0"/>
        <w:ind w:right="41"/>
        <w:jc w:val="right"/>
        <w:rPr>
          <w:bCs/>
          <w:sz w:val="28"/>
          <w:szCs w:val="28"/>
        </w:rPr>
      </w:pPr>
      <w:r w:rsidRPr="0082014A">
        <w:rPr>
          <w:bCs/>
          <w:sz w:val="28"/>
          <w:szCs w:val="28"/>
        </w:rPr>
        <w:t xml:space="preserve">ПРОЕКТ </w:t>
      </w:r>
    </w:p>
    <w:p w:rsidR="0082014A" w:rsidRPr="0082014A" w:rsidRDefault="0082014A" w:rsidP="0082014A">
      <w:pPr>
        <w:jc w:val="center"/>
        <w:rPr>
          <w:rFonts w:eastAsia="Calibri"/>
          <w:b/>
          <w:sz w:val="28"/>
          <w:szCs w:val="28"/>
          <w:lang w:eastAsia="en-US"/>
        </w:rPr>
      </w:pPr>
      <w:r w:rsidRPr="0082014A">
        <w:rPr>
          <w:rFonts w:eastAsia="Calibri"/>
          <w:b/>
          <w:sz w:val="28"/>
          <w:szCs w:val="28"/>
          <w:lang w:eastAsia="en-US"/>
        </w:rPr>
        <w:t>АДМИНИСТРАЦИЯ МУНИЦИПАЛЬНОГО ОБРАЗОВАНЯ</w:t>
      </w:r>
    </w:p>
    <w:p w:rsidR="0082014A" w:rsidRPr="0082014A" w:rsidRDefault="0082014A" w:rsidP="0082014A">
      <w:pPr>
        <w:jc w:val="center"/>
        <w:rPr>
          <w:rFonts w:eastAsia="Calibri"/>
          <w:b/>
          <w:sz w:val="28"/>
          <w:szCs w:val="28"/>
          <w:lang w:eastAsia="en-US"/>
        </w:rPr>
      </w:pPr>
      <w:r w:rsidRPr="0082014A">
        <w:rPr>
          <w:rFonts w:eastAsia="Calibri"/>
          <w:b/>
          <w:sz w:val="28"/>
          <w:szCs w:val="28"/>
          <w:lang w:eastAsia="en-US"/>
        </w:rPr>
        <w:t>РОЖДЕСТВЕНСКОГО СЕЛЬСКОГО ПОСЕЛЕНИЯ</w:t>
      </w:r>
    </w:p>
    <w:p w:rsidR="0082014A" w:rsidRPr="0082014A" w:rsidRDefault="0082014A" w:rsidP="0082014A">
      <w:pPr>
        <w:jc w:val="center"/>
        <w:rPr>
          <w:rFonts w:eastAsia="Calibri"/>
          <w:b/>
          <w:sz w:val="28"/>
          <w:szCs w:val="28"/>
          <w:lang w:eastAsia="en-US"/>
        </w:rPr>
      </w:pPr>
      <w:r w:rsidRPr="0082014A">
        <w:rPr>
          <w:rFonts w:eastAsia="Calibri"/>
          <w:b/>
          <w:sz w:val="28"/>
          <w:szCs w:val="28"/>
          <w:lang w:eastAsia="en-US"/>
        </w:rPr>
        <w:t>ГАТЧИНСКОГО МУНИЦИПАЛЬНОГО РАЙОНА</w:t>
      </w:r>
    </w:p>
    <w:p w:rsidR="0082014A" w:rsidRPr="0082014A" w:rsidRDefault="0082014A" w:rsidP="0082014A">
      <w:pPr>
        <w:jc w:val="center"/>
        <w:rPr>
          <w:rFonts w:eastAsia="Calibri"/>
          <w:b/>
          <w:sz w:val="28"/>
          <w:szCs w:val="28"/>
          <w:lang w:eastAsia="en-US"/>
        </w:rPr>
      </w:pPr>
      <w:r w:rsidRPr="0082014A">
        <w:rPr>
          <w:rFonts w:eastAsia="Calibri"/>
          <w:b/>
          <w:sz w:val="28"/>
          <w:szCs w:val="28"/>
          <w:lang w:eastAsia="en-US"/>
        </w:rPr>
        <w:t>ЛЕНИНГРАДСКОЙ ОБЛАСТИ</w:t>
      </w:r>
    </w:p>
    <w:p w:rsidR="0082014A" w:rsidRPr="0082014A" w:rsidRDefault="0082014A" w:rsidP="0082014A">
      <w:pPr>
        <w:jc w:val="center"/>
        <w:rPr>
          <w:rFonts w:eastAsia="Calibri"/>
          <w:b/>
          <w:sz w:val="28"/>
          <w:szCs w:val="28"/>
          <w:lang w:eastAsia="en-US"/>
        </w:rPr>
      </w:pPr>
    </w:p>
    <w:p w:rsidR="0082014A" w:rsidRPr="0082014A" w:rsidRDefault="0082014A" w:rsidP="0082014A">
      <w:pPr>
        <w:keepNext/>
        <w:jc w:val="center"/>
        <w:outlineLvl w:val="1"/>
        <w:rPr>
          <w:b/>
          <w:bCs/>
          <w:sz w:val="28"/>
          <w:szCs w:val="28"/>
        </w:rPr>
      </w:pPr>
      <w:r w:rsidRPr="0082014A">
        <w:rPr>
          <w:b/>
          <w:bCs/>
          <w:sz w:val="28"/>
          <w:szCs w:val="28"/>
        </w:rPr>
        <w:t>ПОСТАНОВЛЕНИЕ</w:t>
      </w:r>
    </w:p>
    <w:p w:rsidR="0082014A" w:rsidRPr="0082014A" w:rsidRDefault="0082014A" w:rsidP="0082014A">
      <w:pPr>
        <w:keepNext/>
        <w:jc w:val="center"/>
        <w:outlineLvl w:val="1"/>
        <w:rPr>
          <w:b/>
          <w:bCs/>
          <w:sz w:val="28"/>
          <w:szCs w:val="28"/>
        </w:rPr>
      </w:pPr>
    </w:p>
    <w:p w:rsidR="0082014A" w:rsidRPr="0082014A" w:rsidRDefault="0082014A" w:rsidP="0082014A">
      <w:pPr>
        <w:keepNext/>
        <w:jc w:val="center"/>
        <w:outlineLvl w:val="1"/>
        <w:rPr>
          <w:b/>
          <w:bCs/>
          <w:sz w:val="28"/>
          <w:szCs w:val="28"/>
        </w:rPr>
      </w:pPr>
      <w:r w:rsidRPr="0082014A">
        <w:rPr>
          <w:b/>
          <w:bCs/>
          <w:sz w:val="28"/>
          <w:szCs w:val="28"/>
        </w:rPr>
        <w:t>От   мая  2022г.</w:t>
      </w:r>
      <w:r w:rsidRPr="0082014A">
        <w:rPr>
          <w:b/>
          <w:bCs/>
          <w:sz w:val="28"/>
          <w:szCs w:val="28"/>
        </w:rPr>
        <w:tab/>
      </w:r>
      <w:r w:rsidRPr="0082014A">
        <w:rPr>
          <w:b/>
          <w:bCs/>
          <w:sz w:val="28"/>
          <w:szCs w:val="28"/>
        </w:rPr>
        <w:tab/>
      </w:r>
      <w:r w:rsidRPr="0082014A">
        <w:rPr>
          <w:b/>
          <w:bCs/>
          <w:sz w:val="28"/>
          <w:szCs w:val="28"/>
        </w:rPr>
        <w:tab/>
      </w:r>
      <w:r w:rsidRPr="0082014A">
        <w:rPr>
          <w:b/>
          <w:bCs/>
          <w:sz w:val="28"/>
          <w:szCs w:val="28"/>
        </w:rPr>
        <w:tab/>
      </w:r>
      <w:r w:rsidRPr="0082014A">
        <w:rPr>
          <w:b/>
          <w:bCs/>
          <w:sz w:val="28"/>
          <w:szCs w:val="28"/>
        </w:rPr>
        <w:tab/>
      </w:r>
      <w:r w:rsidRPr="0082014A">
        <w:rPr>
          <w:b/>
          <w:bCs/>
          <w:sz w:val="28"/>
          <w:szCs w:val="28"/>
        </w:rPr>
        <w:tab/>
      </w:r>
      <w:r w:rsidRPr="0082014A">
        <w:rPr>
          <w:b/>
          <w:bCs/>
          <w:sz w:val="28"/>
          <w:szCs w:val="28"/>
        </w:rPr>
        <w:tab/>
      </w:r>
      <w:r w:rsidRPr="0082014A">
        <w:rPr>
          <w:b/>
          <w:bCs/>
          <w:sz w:val="28"/>
          <w:szCs w:val="28"/>
        </w:rPr>
        <w:tab/>
      </w:r>
      <w:r w:rsidRPr="0082014A">
        <w:rPr>
          <w:b/>
          <w:bCs/>
          <w:sz w:val="28"/>
          <w:szCs w:val="28"/>
        </w:rPr>
        <w:tab/>
        <w:t xml:space="preserve">    №</w:t>
      </w:r>
    </w:p>
    <w:p w:rsidR="0082014A" w:rsidRPr="0082014A" w:rsidRDefault="0082014A" w:rsidP="0082014A">
      <w:pPr>
        <w:keepNext/>
        <w:jc w:val="center"/>
        <w:outlineLvl w:val="1"/>
        <w:rPr>
          <w:b/>
          <w:bCs/>
          <w:sz w:val="28"/>
          <w:szCs w:val="28"/>
        </w:rPr>
      </w:pPr>
    </w:p>
    <w:p w:rsidR="0082014A" w:rsidRPr="0082014A" w:rsidRDefault="0082014A" w:rsidP="0082014A">
      <w:pPr>
        <w:keepNext/>
        <w:jc w:val="center"/>
        <w:outlineLvl w:val="1"/>
        <w:rPr>
          <w:bCs/>
          <w:sz w:val="28"/>
          <w:szCs w:val="28"/>
        </w:rPr>
      </w:pPr>
    </w:p>
    <w:tbl>
      <w:tblPr>
        <w:tblW w:w="0" w:type="auto"/>
        <w:tblLook w:val="04A0" w:firstRow="1" w:lastRow="0" w:firstColumn="1" w:lastColumn="0" w:noHBand="0" w:noVBand="1"/>
      </w:tblPr>
      <w:tblGrid>
        <w:gridCol w:w="5812"/>
      </w:tblGrid>
      <w:tr w:rsidR="0082014A" w:rsidRPr="0082014A" w:rsidTr="000B3130">
        <w:trPr>
          <w:trHeight w:val="1698"/>
        </w:trPr>
        <w:tc>
          <w:tcPr>
            <w:tcW w:w="5812" w:type="dxa"/>
            <w:hideMark/>
          </w:tcPr>
          <w:p w:rsidR="0082014A" w:rsidRPr="0082014A" w:rsidRDefault="0082014A" w:rsidP="0082014A">
            <w:pPr>
              <w:widowControl w:val="0"/>
              <w:tabs>
                <w:tab w:val="left" w:pos="142"/>
                <w:tab w:val="left" w:pos="284"/>
              </w:tabs>
              <w:autoSpaceDE w:val="0"/>
              <w:autoSpaceDN w:val="0"/>
              <w:adjustRightInd w:val="0"/>
              <w:jc w:val="both"/>
              <w:outlineLvl w:val="0"/>
              <w:rPr>
                <w:rFonts w:eastAsiaTheme="minorHAnsi"/>
                <w:sz w:val="28"/>
                <w:szCs w:val="28"/>
                <w:lang w:eastAsia="en-US"/>
              </w:rPr>
            </w:pPr>
          </w:p>
          <w:p w:rsidR="0082014A" w:rsidRPr="0082014A" w:rsidRDefault="0082014A" w:rsidP="0082014A">
            <w:pPr>
              <w:widowControl w:val="0"/>
              <w:tabs>
                <w:tab w:val="left" w:pos="142"/>
                <w:tab w:val="left" w:pos="284"/>
              </w:tabs>
              <w:autoSpaceDE w:val="0"/>
              <w:autoSpaceDN w:val="0"/>
              <w:adjustRightInd w:val="0"/>
              <w:ind w:left="34"/>
              <w:jc w:val="both"/>
              <w:outlineLvl w:val="0"/>
              <w:rPr>
                <w:rFonts w:eastAsiaTheme="minorHAnsi"/>
                <w:sz w:val="28"/>
                <w:szCs w:val="28"/>
                <w:lang w:eastAsia="en-US"/>
              </w:rPr>
            </w:pPr>
            <w:r w:rsidRPr="0082014A">
              <w:rPr>
                <w:rFonts w:eastAsiaTheme="minorHAnsi"/>
                <w:sz w:val="28"/>
                <w:szCs w:val="28"/>
                <w:lang w:eastAsia="en-US"/>
              </w:rPr>
              <w:t xml:space="preserve">                                                                                                         </w:t>
            </w:r>
          </w:p>
          <w:p w:rsidR="0082014A" w:rsidRPr="0082014A" w:rsidRDefault="0082014A" w:rsidP="0082014A">
            <w:pPr>
              <w:widowControl w:val="0"/>
              <w:tabs>
                <w:tab w:val="left" w:pos="142"/>
                <w:tab w:val="left" w:pos="284"/>
              </w:tabs>
              <w:autoSpaceDE w:val="0"/>
              <w:autoSpaceDN w:val="0"/>
              <w:adjustRightInd w:val="0"/>
              <w:ind w:left="34"/>
              <w:jc w:val="both"/>
              <w:outlineLvl w:val="0"/>
              <w:rPr>
                <w:rFonts w:eastAsiaTheme="minorHAnsi"/>
                <w:sz w:val="28"/>
                <w:szCs w:val="28"/>
                <w:lang w:eastAsia="en-US"/>
              </w:rPr>
            </w:pPr>
            <w:r w:rsidRPr="0082014A">
              <w:rPr>
                <w:rFonts w:eastAsiaTheme="minorHAnsi"/>
                <w:sz w:val="28"/>
                <w:szCs w:val="28"/>
                <w:lang w:eastAsia="en-US"/>
              </w:rPr>
              <w:t>Об утверждении Административного регламента по предоставлению муниципальной услуги «</w:t>
            </w:r>
            <w:r w:rsidRPr="0082014A">
              <w:rPr>
                <w:bCs/>
                <w:sz w:val="28"/>
                <w:szCs w:val="28"/>
              </w:rPr>
              <w:t>Включение в реестр мест (площадок) накопления твёрдых коммунальных отходов</w:t>
            </w:r>
            <w:r w:rsidRPr="0082014A">
              <w:rPr>
                <w:rFonts w:eastAsiaTheme="minorHAnsi"/>
                <w:sz w:val="28"/>
                <w:szCs w:val="28"/>
                <w:lang w:eastAsia="en-US"/>
              </w:rPr>
              <w:t>»</w:t>
            </w:r>
          </w:p>
        </w:tc>
      </w:tr>
    </w:tbl>
    <w:p w:rsidR="0082014A" w:rsidRPr="0082014A" w:rsidRDefault="0082014A" w:rsidP="0082014A">
      <w:pPr>
        <w:ind w:firstLine="709"/>
        <w:jc w:val="both"/>
        <w:rPr>
          <w:rFonts w:eastAsiaTheme="minorHAnsi"/>
          <w:sz w:val="28"/>
          <w:szCs w:val="28"/>
          <w:lang w:eastAsia="en-US"/>
        </w:rPr>
      </w:pPr>
    </w:p>
    <w:p w:rsidR="0082014A" w:rsidRPr="0082014A" w:rsidRDefault="0082014A" w:rsidP="0082014A">
      <w:pPr>
        <w:ind w:firstLine="709"/>
        <w:jc w:val="both"/>
        <w:rPr>
          <w:rFonts w:eastAsiaTheme="minorHAnsi"/>
          <w:sz w:val="28"/>
          <w:szCs w:val="28"/>
          <w:lang w:eastAsia="en-US"/>
        </w:rPr>
      </w:pPr>
      <w:r w:rsidRPr="0082014A">
        <w:rPr>
          <w:rFonts w:eastAsiaTheme="minorHAnsi"/>
          <w:sz w:val="28"/>
          <w:szCs w:val="28"/>
          <w:lang w:eastAsia="en-US"/>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p>
    <w:p w:rsidR="0082014A" w:rsidRPr="0082014A" w:rsidRDefault="0082014A" w:rsidP="0082014A">
      <w:pPr>
        <w:ind w:firstLine="709"/>
        <w:jc w:val="both"/>
        <w:rPr>
          <w:rFonts w:eastAsiaTheme="minorHAnsi"/>
          <w:sz w:val="28"/>
          <w:szCs w:val="28"/>
          <w:lang w:eastAsia="en-US"/>
        </w:rPr>
      </w:pPr>
    </w:p>
    <w:p w:rsidR="0082014A" w:rsidRPr="0082014A" w:rsidRDefault="0082014A" w:rsidP="0082014A">
      <w:pPr>
        <w:ind w:firstLine="709"/>
        <w:jc w:val="both"/>
        <w:rPr>
          <w:rFonts w:eastAsiaTheme="minorHAnsi"/>
          <w:b/>
          <w:sz w:val="28"/>
          <w:szCs w:val="28"/>
          <w:lang w:eastAsia="en-US"/>
        </w:rPr>
      </w:pPr>
      <w:r w:rsidRPr="0082014A">
        <w:rPr>
          <w:rFonts w:eastAsiaTheme="minorHAnsi"/>
          <w:b/>
          <w:sz w:val="28"/>
          <w:szCs w:val="28"/>
          <w:lang w:eastAsia="en-US"/>
        </w:rPr>
        <w:t xml:space="preserve">                             ПОСТАНОВЛЯЮ:</w:t>
      </w:r>
    </w:p>
    <w:p w:rsidR="0082014A" w:rsidRPr="0082014A" w:rsidRDefault="0082014A" w:rsidP="0082014A">
      <w:pPr>
        <w:ind w:firstLine="709"/>
        <w:jc w:val="both"/>
        <w:rPr>
          <w:rFonts w:eastAsiaTheme="minorHAnsi"/>
          <w:b/>
          <w:sz w:val="28"/>
          <w:szCs w:val="28"/>
          <w:lang w:eastAsia="en-US"/>
        </w:rPr>
      </w:pPr>
    </w:p>
    <w:p w:rsidR="0082014A" w:rsidRPr="0082014A" w:rsidRDefault="0082014A" w:rsidP="0082014A">
      <w:pPr>
        <w:widowControl w:val="0"/>
        <w:numPr>
          <w:ilvl w:val="0"/>
          <w:numId w:val="44"/>
        </w:numPr>
        <w:tabs>
          <w:tab w:val="left" w:pos="142"/>
          <w:tab w:val="left" w:pos="284"/>
        </w:tabs>
        <w:autoSpaceDE w:val="0"/>
        <w:autoSpaceDN w:val="0"/>
        <w:adjustRightInd w:val="0"/>
        <w:spacing w:after="200" w:line="276" w:lineRule="auto"/>
        <w:ind w:left="284" w:firstLine="426"/>
        <w:contextualSpacing/>
        <w:jc w:val="both"/>
        <w:outlineLvl w:val="0"/>
        <w:rPr>
          <w:rFonts w:eastAsiaTheme="minorHAnsi"/>
          <w:bCs/>
          <w:sz w:val="28"/>
          <w:szCs w:val="28"/>
          <w:lang w:eastAsia="en-US"/>
        </w:rPr>
      </w:pPr>
      <w:r w:rsidRPr="0082014A">
        <w:rPr>
          <w:rFonts w:eastAsiaTheme="minorHAnsi"/>
          <w:sz w:val="28"/>
          <w:szCs w:val="28"/>
          <w:lang w:eastAsia="en-US"/>
        </w:rPr>
        <w:t>Утвердить Административный регламент предоставления муниципальной услуги «</w:t>
      </w:r>
      <w:r w:rsidRPr="0082014A">
        <w:rPr>
          <w:bCs/>
          <w:sz w:val="28"/>
          <w:szCs w:val="28"/>
        </w:rPr>
        <w:t>Включение в реестр мест (площадок) накопления твёрдых коммунальных отходов</w:t>
      </w:r>
      <w:r w:rsidRPr="0082014A">
        <w:rPr>
          <w:rFonts w:eastAsiaTheme="minorHAnsi"/>
          <w:sz w:val="28"/>
          <w:szCs w:val="28"/>
          <w:lang w:eastAsia="en-US"/>
        </w:rPr>
        <w:t>» (Приложение).</w:t>
      </w:r>
    </w:p>
    <w:p w:rsidR="0082014A" w:rsidRPr="0082014A" w:rsidRDefault="0082014A" w:rsidP="0082014A">
      <w:pPr>
        <w:widowControl w:val="0"/>
        <w:autoSpaceDE w:val="0"/>
        <w:autoSpaceDN w:val="0"/>
        <w:adjustRightInd w:val="0"/>
        <w:jc w:val="both"/>
        <w:rPr>
          <w:rFonts w:eastAsiaTheme="minorEastAsia"/>
          <w:bCs/>
          <w:color w:val="000000"/>
          <w:sz w:val="28"/>
          <w:szCs w:val="28"/>
        </w:rPr>
      </w:pPr>
      <w:r w:rsidRPr="0082014A">
        <w:rPr>
          <w:rFonts w:eastAsiaTheme="minorEastAsia"/>
          <w:bCs/>
          <w:color w:val="000000"/>
          <w:sz w:val="28"/>
          <w:szCs w:val="28"/>
        </w:rPr>
        <w:t xml:space="preserve">   2. 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82014A" w:rsidRPr="0082014A" w:rsidRDefault="0082014A" w:rsidP="0082014A">
      <w:pPr>
        <w:widowControl w:val="0"/>
        <w:autoSpaceDE w:val="0"/>
        <w:autoSpaceDN w:val="0"/>
        <w:adjustRightInd w:val="0"/>
        <w:jc w:val="both"/>
        <w:rPr>
          <w:rFonts w:eastAsiaTheme="minorEastAsia"/>
          <w:bCs/>
          <w:color w:val="000000"/>
          <w:sz w:val="28"/>
          <w:szCs w:val="28"/>
        </w:rPr>
      </w:pPr>
      <w:r w:rsidRPr="0082014A">
        <w:rPr>
          <w:rFonts w:eastAsiaTheme="minorEastAsia"/>
          <w:bCs/>
          <w:color w:val="000000"/>
          <w:sz w:val="28"/>
          <w:szCs w:val="28"/>
        </w:rPr>
        <w:t xml:space="preserve">  3. 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82014A" w:rsidRPr="0082014A" w:rsidRDefault="0082014A" w:rsidP="0082014A">
      <w:pPr>
        <w:widowControl w:val="0"/>
        <w:autoSpaceDE w:val="0"/>
        <w:autoSpaceDN w:val="0"/>
        <w:adjustRightInd w:val="0"/>
        <w:jc w:val="both"/>
        <w:rPr>
          <w:rFonts w:eastAsiaTheme="minorEastAsia"/>
          <w:bCs/>
          <w:color w:val="000000"/>
          <w:sz w:val="28"/>
          <w:szCs w:val="28"/>
        </w:rPr>
      </w:pPr>
      <w:r w:rsidRPr="0082014A">
        <w:rPr>
          <w:rFonts w:eastAsiaTheme="minorEastAsia"/>
          <w:bCs/>
          <w:color w:val="000000"/>
          <w:sz w:val="28"/>
          <w:szCs w:val="28"/>
        </w:rPr>
        <w:t xml:space="preserve">Глава администрации                                              </w:t>
      </w:r>
    </w:p>
    <w:p w:rsidR="0082014A" w:rsidRPr="0082014A" w:rsidRDefault="0082014A" w:rsidP="0082014A">
      <w:pPr>
        <w:widowControl w:val="0"/>
        <w:autoSpaceDE w:val="0"/>
        <w:autoSpaceDN w:val="0"/>
        <w:adjustRightInd w:val="0"/>
        <w:jc w:val="both"/>
        <w:rPr>
          <w:rFonts w:eastAsiaTheme="minorEastAsia"/>
          <w:bCs/>
          <w:color w:val="000000"/>
          <w:sz w:val="28"/>
          <w:szCs w:val="28"/>
        </w:rPr>
      </w:pPr>
      <w:r w:rsidRPr="0082014A">
        <w:rPr>
          <w:rFonts w:eastAsiaTheme="minorEastAsia"/>
          <w:bCs/>
          <w:color w:val="000000"/>
          <w:sz w:val="28"/>
          <w:szCs w:val="28"/>
        </w:rPr>
        <w:t xml:space="preserve">Рождественского сельского поселения                                            </w:t>
      </w:r>
      <w:proofErr w:type="spellStart"/>
      <w:r w:rsidRPr="0082014A">
        <w:rPr>
          <w:rFonts w:eastAsiaTheme="minorEastAsia"/>
          <w:bCs/>
          <w:color w:val="000000"/>
          <w:sz w:val="28"/>
          <w:szCs w:val="28"/>
        </w:rPr>
        <w:t>С.Н.Сорокин</w:t>
      </w:r>
      <w:proofErr w:type="spellEnd"/>
    </w:p>
    <w:p w:rsidR="0082014A" w:rsidRDefault="0082014A" w:rsidP="0082014A">
      <w:pPr>
        <w:autoSpaceDE w:val="0"/>
        <w:autoSpaceDN w:val="0"/>
        <w:adjustRightInd w:val="0"/>
        <w:jc w:val="right"/>
        <w:rPr>
          <w:rFonts w:eastAsiaTheme="minorEastAsia"/>
          <w:bCs/>
          <w:color w:val="000000"/>
          <w:sz w:val="28"/>
          <w:szCs w:val="28"/>
        </w:rPr>
      </w:pPr>
    </w:p>
    <w:p w:rsidR="0082014A" w:rsidRPr="0082014A" w:rsidRDefault="0082014A" w:rsidP="0082014A">
      <w:pPr>
        <w:autoSpaceDE w:val="0"/>
        <w:autoSpaceDN w:val="0"/>
        <w:adjustRightInd w:val="0"/>
        <w:jc w:val="right"/>
        <w:rPr>
          <w:rFonts w:eastAsiaTheme="minorEastAsia"/>
          <w:bCs/>
          <w:color w:val="000000"/>
          <w:sz w:val="28"/>
          <w:szCs w:val="28"/>
        </w:rPr>
      </w:pPr>
      <w:r w:rsidRPr="0082014A">
        <w:rPr>
          <w:rFonts w:eastAsiaTheme="minorEastAsia"/>
          <w:bCs/>
          <w:color w:val="000000"/>
          <w:sz w:val="28"/>
          <w:szCs w:val="28"/>
        </w:rPr>
        <w:lastRenderedPageBreak/>
        <w:t xml:space="preserve">Приложение к постановлению </w:t>
      </w:r>
    </w:p>
    <w:p w:rsidR="0082014A" w:rsidRPr="0082014A" w:rsidRDefault="0082014A" w:rsidP="0082014A">
      <w:pPr>
        <w:autoSpaceDE w:val="0"/>
        <w:autoSpaceDN w:val="0"/>
        <w:adjustRightInd w:val="0"/>
        <w:jc w:val="right"/>
        <w:rPr>
          <w:rFonts w:eastAsia="Calibri"/>
          <w:bCs/>
          <w:sz w:val="28"/>
          <w:szCs w:val="28"/>
        </w:rPr>
      </w:pPr>
      <w:r w:rsidRPr="0082014A">
        <w:rPr>
          <w:rFonts w:eastAsiaTheme="minorEastAsia"/>
          <w:bCs/>
          <w:color w:val="000000"/>
          <w:sz w:val="28"/>
          <w:szCs w:val="28"/>
        </w:rPr>
        <w:t xml:space="preserve">администрации от _____.2022 № </w:t>
      </w:r>
    </w:p>
    <w:p w:rsidR="0082014A" w:rsidRDefault="0082014A" w:rsidP="00385604">
      <w:pPr>
        <w:autoSpaceDE w:val="0"/>
        <w:autoSpaceDN w:val="0"/>
        <w:adjustRightInd w:val="0"/>
        <w:jc w:val="center"/>
        <w:rPr>
          <w:b/>
          <w:bCs/>
          <w:sz w:val="28"/>
          <w:szCs w:val="28"/>
        </w:rPr>
      </w:pPr>
    </w:p>
    <w:p w:rsidR="0082014A" w:rsidRPr="0082014A" w:rsidRDefault="0082014A" w:rsidP="0082014A">
      <w:pPr>
        <w:autoSpaceDE w:val="0"/>
        <w:autoSpaceDN w:val="0"/>
        <w:adjustRightInd w:val="0"/>
        <w:jc w:val="center"/>
        <w:rPr>
          <w:b/>
          <w:bCs/>
          <w:sz w:val="28"/>
          <w:szCs w:val="28"/>
        </w:rPr>
      </w:pPr>
      <w:r w:rsidRPr="0082014A">
        <w:rPr>
          <w:b/>
          <w:bCs/>
          <w:sz w:val="28"/>
          <w:szCs w:val="28"/>
        </w:rPr>
        <w:t>Административный регламент</w:t>
      </w:r>
    </w:p>
    <w:p w:rsidR="00385604" w:rsidRDefault="0082014A" w:rsidP="0082014A">
      <w:pPr>
        <w:autoSpaceDE w:val="0"/>
        <w:autoSpaceDN w:val="0"/>
        <w:adjustRightInd w:val="0"/>
        <w:jc w:val="center"/>
        <w:rPr>
          <w:b/>
          <w:bCs/>
          <w:sz w:val="28"/>
          <w:szCs w:val="28"/>
        </w:rPr>
      </w:pPr>
      <w:r w:rsidRPr="0082014A">
        <w:rPr>
          <w:b/>
          <w:bCs/>
          <w:sz w:val="28"/>
          <w:szCs w:val="28"/>
        </w:rPr>
        <w:t xml:space="preserve">администрации муниципального образования Рождественского сельского поселения Гатчинского муниципального района Ленинградской области по предоставлению муниципальной услуги </w:t>
      </w:r>
      <w:r w:rsidR="00E84BEE">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bookmarkStart w:id="2" w:name="_Hlk102398645"/>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bookmarkEnd w:id="2"/>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8"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муниципального образования</w:t>
      </w:r>
      <w:r w:rsidR="0082014A">
        <w:rPr>
          <w:rFonts w:eastAsia="Calibri"/>
          <w:sz w:val="28"/>
          <w:szCs w:val="28"/>
        </w:rPr>
        <w:t xml:space="preserve"> Рождественского сельского поселения Гатчинского муниципального района </w:t>
      </w:r>
      <w:r w:rsidR="008C594E">
        <w:rPr>
          <w:rFonts w:eastAsia="Calibri"/>
          <w:sz w:val="28"/>
          <w:szCs w:val="28"/>
        </w:rPr>
        <w:t xml:space="preserve">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 xml:space="preserve">ах, отделах, </w:t>
      </w:r>
      <w:bookmarkStart w:id="7" w:name="_GoBack"/>
      <w:bookmarkEnd w:id="7"/>
      <w:r w:rsidR="00385604">
        <w:rPr>
          <w:sz w:val="28"/>
          <w:szCs w:val="28"/>
        </w:rPr>
        <w:t>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9"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8" w:name="P136"/>
      <w:bookmarkEnd w:id="8"/>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A74ADD" w:rsidRPr="00372331">
        <w:rPr>
          <w:sz w:val="28"/>
          <w:szCs w:val="28"/>
        </w:rPr>
        <w:t>10</w:t>
      </w:r>
      <w:r w:rsidR="003433E1">
        <w:rPr>
          <w:sz w:val="28"/>
          <w:szCs w:val="28"/>
        </w:rPr>
        <w:t xml:space="preserve"> </w:t>
      </w:r>
      <w:r w:rsidR="002B1DDE">
        <w:rPr>
          <w:sz w:val="28"/>
          <w:szCs w:val="28"/>
        </w:rPr>
        <w:t xml:space="preserve">календарных </w:t>
      </w:r>
      <w:r w:rsidR="00941F88" w:rsidRPr="00372331">
        <w:rPr>
          <w:sz w:val="28"/>
          <w:szCs w:val="28"/>
        </w:rPr>
        <w:t>дней</w:t>
      </w:r>
      <w:r w:rsidRPr="0010153B">
        <w:rPr>
          <w:sz w:val="28"/>
          <w:szCs w:val="28"/>
        </w:rPr>
        <w:t xml:space="preserve"> </w:t>
      </w:r>
      <w:r w:rsidR="006E000C">
        <w:rPr>
          <w:sz w:val="28"/>
          <w:szCs w:val="28"/>
        </w:rPr>
        <w:t xml:space="preserve">с </w:t>
      </w:r>
      <w:r w:rsidRPr="003E71C3">
        <w:rPr>
          <w:sz w:val="28"/>
          <w:szCs w:val="28"/>
        </w:rPr>
        <w:t>даты поступления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9"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10" w:name="sub_121028"/>
      <w:bookmarkStart w:id="11" w:name="sub_1028"/>
      <w:bookmarkEnd w:id="9"/>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w:t>
      </w:r>
      <w:r w:rsidR="00CF4708">
        <w:rPr>
          <w:rFonts w:ascii="Times New Roman" w:hAnsi="Times New Roman"/>
          <w:sz w:val="28"/>
          <w:szCs w:val="28"/>
        </w:rPr>
        <w:lastRenderedPageBreak/>
        <w:t>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Theme="minorHAnsi"/>
          <w:sz w:val="28"/>
          <w:szCs w:val="28"/>
          <w:lang w:eastAsia="en-US"/>
        </w:rPr>
        <w:lastRenderedPageBreak/>
        <w:t xml:space="preserve">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Pr="006C5D66"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lastRenderedPageBreak/>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2" w:name="sub_1222"/>
      <w:bookmarkEnd w:id="10"/>
      <w:bookmarkEnd w:id="11"/>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5D1E6E">
        <w:rPr>
          <w:sz w:val="28"/>
          <w:szCs w:val="28"/>
        </w:rPr>
        <w:lastRenderedPageBreak/>
        <w:t>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lastRenderedPageBreak/>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2.17.2. Предоставление муниципальной услуги в электронном виде </w:t>
      </w:r>
      <w:r w:rsidRPr="005D1E6E">
        <w:rPr>
          <w:sz w:val="28"/>
          <w:szCs w:val="28"/>
        </w:rPr>
        <w:lastRenderedPageBreak/>
        <w:t>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3"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4"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lastRenderedPageBreak/>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 xml:space="preserve">о включении места (площадки) накопления </w:t>
      </w:r>
      <w:r w:rsidR="00070F9F" w:rsidRPr="00070F9F">
        <w:rPr>
          <w:sz w:val="28"/>
          <w:szCs w:val="28"/>
        </w:rPr>
        <w:lastRenderedPageBreak/>
        <w:t>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A0357">
          <w:rPr>
            <w:rStyle w:val="af8"/>
            <w:color w:val="auto"/>
            <w:sz w:val="28"/>
            <w:szCs w:val="28"/>
            <w:u w:val="none"/>
          </w:rPr>
          <w:t>законом</w:t>
        </w:r>
      </w:hyperlink>
      <w:r w:rsidRPr="00DA0357">
        <w:rPr>
          <w:sz w:val="28"/>
          <w:szCs w:val="28"/>
        </w:rPr>
        <w:t xml:space="preserve"> № 210-ФЗ, Федеральным </w:t>
      </w:r>
      <w:hyperlink r:id="rId15"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6"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lastRenderedPageBreak/>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84BEE">
        <w:rPr>
          <w:sz w:val="28"/>
          <w:szCs w:val="28"/>
        </w:rPr>
        <w:lastRenderedPageBreak/>
        <w:t>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84BEE">
        <w:rPr>
          <w:sz w:val="28"/>
          <w:szCs w:val="28"/>
        </w:rPr>
        <w:lastRenderedPageBreak/>
        <w:t>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w:t>
      </w:r>
      <w:r>
        <w:rPr>
          <w:rFonts w:eastAsiaTheme="minorHAnsi"/>
          <w:sz w:val="28"/>
          <w:szCs w:val="28"/>
          <w:lang w:eastAsia="en-US"/>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6" w:name="Par33"/>
      <w:bookmarkEnd w:id="16"/>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3FE" w:rsidRDefault="00F713FE">
      <w:r>
        <w:separator/>
      </w:r>
    </w:p>
  </w:endnote>
  <w:endnote w:type="continuationSeparator" w:id="0">
    <w:p w:rsidR="00F713FE" w:rsidRDefault="00F7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3F2F4B">
          <w:rPr>
            <w:noProof/>
          </w:rPr>
          <w:t>20</w:t>
        </w:r>
        <w:r>
          <w:fldChar w:fldCharType="end"/>
        </w:r>
      </w:p>
    </w:sdtContent>
  </w:sdt>
  <w:p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3FE" w:rsidRDefault="00F713FE">
      <w:r>
        <w:separator/>
      </w:r>
    </w:p>
  </w:footnote>
  <w:footnote w:type="continuationSeparator" w:id="0">
    <w:p w:rsidR="00F713FE" w:rsidRDefault="00F7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3F2F4B">
          <w:rPr>
            <w:noProof/>
          </w:rPr>
          <w:t>20</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4A"/>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3FE"/>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2C71"/>
  <w15:docId w15:val="{559DA6DE-EBA3-4E10-B885-9323EE0B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5E54-4AEC-47F6-8699-2317E5F2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9143</Words>
  <Characters>52120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Elena Getmanskaya</cp:lastModifiedBy>
  <cp:revision>2</cp:revision>
  <cp:lastPrinted>2019-04-11T05:55:00Z</cp:lastPrinted>
  <dcterms:created xsi:type="dcterms:W3CDTF">2022-05-02T12:48:00Z</dcterms:created>
  <dcterms:modified xsi:type="dcterms:W3CDTF">2022-05-02T12:48:00Z</dcterms:modified>
</cp:coreProperties>
</file>