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29" w:rsidRDefault="007E7129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F211E6">
        <w:rPr>
          <w:rFonts w:ascii="Times New Roman" w:hAnsi="Times New Roman" w:cs="Times New Roman"/>
          <w:b/>
          <w:sz w:val="28"/>
          <w:szCs w:val="28"/>
        </w:rPr>
        <w:t>08  апреля</w:t>
      </w:r>
      <w:proofErr w:type="gramEnd"/>
      <w:r w:rsidR="0098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1DBE">
        <w:rPr>
          <w:rFonts w:ascii="Times New Roman" w:hAnsi="Times New Roman" w:cs="Times New Roman"/>
          <w:b/>
          <w:sz w:val="28"/>
          <w:szCs w:val="28"/>
        </w:rPr>
        <w:t>2</w:t>
      </w:r>
      <w:r w:rsidR="00F211E6">
        <w:rPr>
          <w:rFonts w:ascii="Times New Roman" w:hAnsi="Times New Roman" w:cs="Times New Roman"/>
          <w:b/>
          <w:sz w:val="28"/>
          <w:szCs w:val="28"/>
        </w:rPr>
        <w:t>2</w:t>
      </w:r>
      <w:r w:rsidR="001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</w:t>
      </w:r>
      <w:r w:rsidR="00987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F211E6">
        <w:rPr>
          <w:rFonts w:ascii="Times New Roman" w:hAnsi="Times New Roman" w:cs="Times New Roman"/>
          <w:b/>
          <w:sz w:val="28"/>
          <w:szCs w:val="28"/>
        </w:rPr>
        <w:t>123б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F211E6" w:rsidRDefault="00F211E6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№102</w:t>
      </w:r>
    </w:p>
    <w:p w:rsidR="00F211E6" w:rsidRDefault="00F211E6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24.03.2022г.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144B"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</w:p>
    <w:p w:rsidR="00F211E6" w:rsidRDefault="00104C1E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постановление№79 от 30.04.2014 г. </w:t>
      </w:r>
    </w:p>
    <w:p w:rsidR="00104C1E" w:rsidRPr="00104C1E" w:rsidRDefault="00104C1E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14">
        <w:rPr>
          <w:rFonts w:ascii="Times New Roman" w:hAnsi="Times New Roman" w:cs="Times New Roman"/>
          <w:sz w:val="28"/>
          <w:szCs w:val="28"/>
        </w:rPr>
        <w:t>(</w:t>
      </w:r>
      <w:r w:rsidR="001D7977">
        <w:rPr>
          <w:rFonts w:ascii="Times New Roman" w:hAnsi="Times New Roman" w:cs="Times New Roman"/>
          <w:sz w:val="28"/>
          <w:szCs w:val="28"/>
        </w:rPr>
        <w:t>в редакции №</w:t>
      </w:r>
      <w:r w:rsidR="00D94326">
        <w:rPr>
          <w:rFonts w:ascii="Times New Roman" w:hAnsi="Times New Roman" w:cs="Times New Roman"/>
          <w:sz w:val="28"/>
          <w:szCs w:val="28"/>
        </w:rPr>
        <w:t>450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</w:t>
      </w:r>
      <w:r w:rsidR="00D94326">
        <w:rPr>
          <w:rFonts w:ascii="Times New Roman" w:hAnsi="Times New Roman" w:cs="Times New Roman"/>
          <w:sz w:val="28"/>
          <w:szCs w:val="28"/>
        </w:rPr>
        <w:t>20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D94326">
        <w:rPr>
          <w:rFonts w:ascii="Times New Roman" w:hAnsi="Times New Roman" w:cs="Times New Roman"/>
          <w:sz w:val="28"/>
          <w:szCs w:val="28"/>
        </w:rPr>
        <w:t>декабря</w:t>
      </w:r>
      <w:r w:rsidR="00E3201B">
        <w:rPr>
          <w:rFonts w:ascii="Times New Roman" w:hAnsi="Times New Roman" w:cs="Times New Roman"/>
          <w:sz w:val="28"/>
          <w:szCs w:val="28"/>
        </w:rPr>
        <w:t xml:space="preserve"> </w:t>
      </w:r>
      <w:r w:rsidR="00781DBE">
        <w:rPr>
          <w:rFonts w:ascii="Times New Roman" w:hAnsi="Times New Roman" w:cs="Times New Roman"/>
          <w:sz w:val="28"/>
          <w:szCs w:val="28"/>
        </w:rPr>
        <w:t>20</w:t>
      </w:r>
      <w:r w:rsidR="00E3201B">
        <w:rPr>
          <w:rFonts w:ascii="Times New Roman" w:hAnsi="Times New Roman" w:cs="Times New Roman"/>
          <w:sz w:val="28"/>
          <w:szCs w:val="28"/>
        </w:rPr>
        <w:t>21</w:t>
      </w:r>
      <w:r w:rsidR="004C6B03" w:rsidRPr="00371614">
        <w:rPr>
          <w:rFonts w:ascii="Times New Roman" w:hAnsi="Times New Roman" w:cs="Times New Roman"/>
          <w:sz w:val="28"/>
          <w:szCs w:val="28"/>
        </w:rPr>
        <w:t>г</w:t>
      </w:r>
      <w:r w:rsidR="004C6B03">
        <w:rPr>
          <w:rFonts w:ascii="Times New Roman" w:hAnsi="Times New Roman" w:cs="Times New Roman"/>
          <w:sz w:val="24"/>
          <w:szCs w:val="24"/>
        </w:rPr>
        <w:t>.</w:t>
      </w:r>
      <w:r w:rsidRPr="00104C1E">
        <w:rPr>
          <w:rFonts w:ascii="Times New Roman" w:hAnsi="Times New Roman" w:cs="Times New Roman"/>
          <w:sz w:val="24"/>
          <w:szCs w:val="24"/>
        </w:rPr>
        <w:t>)</w:t>
      </w:r>
    </w:p>
    <w:p w:rsidR="005A144B" w:rsidRPr="00CF356B" w:rsidRDefault="00D62337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C1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A144B" w:rsidRPr="00CF356B">
        <w:rPr>
          <w:rFonts w:ascii="Times New Roman" w:hAnsi="Times New Roman" w:cs="Times New Roman"/>
          <w:sz w:val="28"/>
          <w:szCs w:val="28"/>
        </w:rPr>
        <w:t>единой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144B" w:rsidRPr="00CF356B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закупок для нужд администрации МО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«Рождественско</w:t>
      </w:r>
      <w:bookmarkStart w:id="0" w:name="_GoBack"/>
      <w:bookmarkEnd w:id="0"/>
      <w:r w:rsidRPr="00CF356B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A144B" w:rsidRPr="005A144B" w:rsidRDefault="00F211E6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области»»</w:t>
      </w:r>
    </w:p>
    <w:p w:rsidR="005A144B" w:rsidRPr="005A144B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5A144B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В соответствии с требованием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</w:p>
    <w:p w:rsidR="00CF356B" w:rsidRPr="00CF356B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11E6" w:rsidRPr="00F211E6" w:rsidRDefault="00104C1E" w:rsidP="00F211E6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4C1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22370">
        <w:rPr>
          <w:rFonts w:ascii="Times New Roman" w:hAnsi="Times New Roman" w:cs="Times New Roman"/>
          <w:sz w:val="28"/>
          <w:szCs w:val="28"/>
        </w:rPr>
        <w:t>Приложение №</w:t>
      </w:r>
      <w:r w:rsidR="00987563">
        <w:rPr>
          <w:rFonts w:ascii="Times New Roman" w:hAnsi="Times New Roman" w:cs="Times New Roman"/>
          <w:sz w:val="28"/>
          <w:szCs w:val="28"/>
        </w:rPr>
        <w:t>1</w:t>
      </w:r>
      <w:r w:rsidR="00140D2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Рождественского сельского поселения «О создании е</w:t>
      </w:r>
      <w:r>
        <w:rPr>
          <w:rFonts w:ascii="Times New Roman" w:hAnsi="Times New Roman" w:cs="Times New Roman"/>
          <w:sz w:val="28"/>
          <w:szCs w:val="28"/>
        </w:rPr>
        <w:t>диной комиссии по осуществлению закупок для нужд администрации муниципального образования «Рождественского сельского поселения Гатчинского муниципально</w:t>
      </w:r>
      <w:r w:rsidR="00140D2D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области» </w:t>
      </w:r>
      <w:r w:rsidR="00F211E6">
        <w:rPr>
          <w:rFonts w:ascii="Times New Roman" w:hAnsi="Times New Roman" w:cs="Times New Roman"/>
          <w:sz w:val="28"/>
          <w:szCs w:val="28"/>
        </w:rPr>
        <w:t xml:space="preserve">от 24 марта 2022 №102 </w:t>
      </w:r>
      <w:r w:rsidR="001D7977">
        <w:rPr>
          <w:rFonts w:ascii="Times New Roman" w:hAnsi="Times New Roman" w:cs="Times New Roman"/>
          <w:sz w:val="28"/>
          <w:szCs w:val="28"/>
        </w:rPr>
        <w:t xml:space="preserve">соответствии с Приложением №1 к Постановлению </w:t>
      </w:r>
      <w:r w:rsidR="00D62337">
        <w:rPr>
          <w:rFonts w:ascii="Times New Roman" w:hAnsi="Times New Roman" w:cs="Times New Roman"/>
          <w:sz w:val="28"/>
          <w:szCs w:val="28"/>
        </w:rPr>
        <w:t>«</w:t>
      </w:r>
      <w:r w:rsidR="00F211E6" w:rsidRPr="00F211E6">
        <w:rPr>
          <w:rFonts w:ascii="Times New Roman" w:hAnsi="Times New Roman" w:cs="Times New Roman"/>
          <w:sz w:val="28"/>
          <w:szCs w:val="28"/>
        </w:rPr>
        <w:t xml:space="preserve">О внесении изменении </w:t>
      </w:r>
    </w:p>
    <w:p w:rsidR="00F211E6" w:rsidRPr="00F211E6" w:rsidRDefault="00F211E6" w:rsidP="00F211E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E6">
        <w:rPr>
          <w:rFonts w:ascii="Times New Roman" w:hAnsi="Times New Roman" w:cs="Times New Roman"/>
          <w:sz w:val="28"/>
          <w:szCs w:val="28"/>
        </w:rPr>
        <w:t>в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тановление№79 от 30.04.2014 г. </w:t>
      </w:r>
      <w:r w:rsidRPr="00F211E6">
        <w:rPr>
          <w:rFonts w:ascii="Times New Roman" w:hAnsi="Times New Roman" w:cs="Times New Roman"/>
          <w:sz w:val="28"/>
          <w:szCs w:val="28"/>
        </w:rPr>
        <w:t>(в редакции №450 от 20 декабря 2021г.)</w:t>
      </w:r>
    </w:p>
    <w:p w:rsidR="00F211E6" w:rsidRDefault="00F211E6" w:rsidP="00F211E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E6">
        <w:rPr>
          <w:rFonts w:ascii="Times New Roman" w:hAnsi="Times New Roman" w:cs="Times New Roman"/>
          <w:sz w:val="28"/>
          <w:szCs w:val="28"/>
        </w:rPr>
        <w:t>«О создании е</w:t>
      </w:r>
      <w:r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</w:t>
      </w:r>
      <w:r w:rsidRPr="00F211E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купок для нужд администрации МО </w:t>
      </w:r>
      <w:r w:rsidRPr="00F211E6">
        <w:rPr>
          <w:rFonts w:ascii="Times New Roman" w:hAnsi="Times New Roman" w:cs="Times New Roman"/>
          <w:sz w:val="28"/>
          <w:szCs w:val="28"/>
        </w:rPr>
        <w:t>«Рожде</w:t>
      </w:r>
      <w:r>
        <w:rPr>
          <w:rFonts w:ascii="Times New Roman" w:hAnsi="Times New Roman" w:cs="Times New Roman"/>
          <w:sz w:val="28"/>
          <w:szCs w:val="28"/>
        </w:rPr>
        <w:t xml:space="preserve">ственского сельского поселения </w:t>
      </w:r>
      <w:r w:rsidRPr="00F211E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1E6">
        <w:rPr>
          <w:rFonts w:ascii="Times New Roman" w:hAnsi="Times New Roman" w:cs="Times New Roman"/>
          <w:sz w:val="28"/>
          <w:szCs w:val="28"/>
        </w:rPr>
        <w:t>Ленинградской области»»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44B" w:rsidRDefault="00DA674D" w:rsidP="00F211E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87563" w:rsidRPr="00987563">
        <w:rPr>
          <w:rFonts w:ascii="Times New Roman" w:hAnsi="Times New Roman" w:cs="Times New Roman"/>
          <w:sz w:val="28"/>
          <w:szCs w:val="28"/>
        </w:rPr>
        <w:t xml:space="preserve">Утвердить Положение о Единой комиссии по осуществлению закупок для нужд администрации Рождественского </w:t>
      </w:r>
      <w:proofErr w:type="gramStart"/>
      <w:r w:rsidR="00987563" w:rsidRPr="0098756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5A144B" w:rsidRPr="005A144B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настоящим </w:t>
      </w:r>
      <w:r w:rsidR="00D530D6">
        <w:rPr>
          <w:rFonts w:ascii="Times New Roman" w:hAnsi="Times New Roman" w:cs="Times New Roman"/>
          <w:sz w:val="28"/>
          <w:szCs w:val="28"/>
        </w:rPr>
        <w:t>постановлением</w:t>
      </w:r>
      <w:r w:rsidR="005A144B" w:rsidRPr="005A144B">
        <w:rPr>
          <w:rFonts w:ascii="Times New Roman" w:hAnsi="Times New Roman" w:cs="Times New Roman"/>
          <w:sz w:val="28"/>
          <w:szCs w:val="28"/>
        </w:rPr>
        <w:t>.</w:t>
      </w:r>
    </w:p>
    <w:p w:rsidR="00F211E6" w:rsidRDefault="00D94326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4326">
        <w:rPr>
          <w:rFonts w:ascii="Times New Roman" w:hAnsi="Times New Roman" w:cs="Times New Roman"/>
          <w:sz w:val="28"/>
          <w:szCs w:val="28"/>
        </w:rPr>
        <w:t>Внести изменение в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32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Рождественского сельского поселения </w:t>
      </w:r>
      <w:r w:rsidR="00F211E6" w:rsidRPr="00F211E6">
        <w:rPr>
          <w:rFonts w:ascii="Times New Roman" w:hAnsi="Times New Roman" w:cs="Times New Roman"/>
          <w:sz w:val="28"/>
          <w:szCs w:val="28"/>
        </w:rPr>
        <w:t>«О создании единой комиссии по осуществлению закупок для нужд администрации МО «Рождественского сельского поселения Гатчинского муниципального</w:t>
      </w:r>
      <w:r w:rsidR="00F211E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области»»</w:t>
      </w:r>
      <w:r w:rsidRPr="00D94326">
        <w:rPr>
          <w:rFonts w:ascii="Times New Roman" w:hAnsi="Times New Roman" w:cs="Times New Roman"/>
          <w:sz w:val="28"/>
          <w:szCs w:val="28"/>
        </w:rPr>
        <w:t xml:space="preserve"> от </w:t>
      </w:r>
      <w:r w:rsidR="00F211E6">
        <w:rPr>
          <w:rFonts w:ascii="Times New Roman" w:hAnsi="Times New Roman" w:cs="Times New Roman"/>
          <w:sz w:val="28"/>
          <w:szCs w:val="28"/>
        </w:rPr>
        <w:t>8</w:t>
      </w:r>
      <w:r w:rsidRPr="00D94326">
        <w:rPr>
          <w:rFonts w:ascii="Times New Roman" w:hAnsi="Times New Roman" w:cs="Times New Roman"/>
          <w:sz w:val="28"/>
          <w:szCs w:val="28"/>
        </w:rPr>
        <w:t xml:space="preserve"> </w:t>
      </w:r>
      <w:r w:rsidR="00F211E6">
        <w:rPr>
          <w:rFonts w:ascii="Times New Roman" w:hAnsi="Times New Roman" w:cs="Times New Roman"/>
          <w:sz w:val="28"/>
          <w:szCs w:val="28"/>
        </w:rPr>
        <w:t>апреля</w:t>
      </w:r>
      <w:r w:rsidRPr="00D94326">
        <w:rPr>
          <w:rFonts w:ascii="Times New Roman" w:hAnsi="Times New Roman" w:cs="Times New Roman"/>
          <w:sz w:val="28"/>
          <w:szCs w:val="28"/>
        </w:rPr>
        <w:t xml:space="preserve"> 20</w:t>
      </w:r>
      <w:r w:rsidR="00F211E6">
        <w:rPr>
          <w:rFonts w:ascii="Times New Roman" w:hAnsi="Times New Roman" w:cs="Times New Roman"/>
          <w:sz w:val="28"/>
          <w:szCs w:val="28"/>
        </w:rPr>
        <w:t>22</w:t>
      </w:r>
      <w:r w:rsidRPr="00D94326">
        <w:rPr>
          <w:rFonts w:ascii="Times New Roman" w:hAnsi="Times New Roman" w:cs="Times New Roman"/>
          <w:sz w:val="28"/>
          <w:szCs w:val="28"/>
        </w:rPr>
        <w:t xml:space="preserve"> г. №</w:t>
      </w:r>
      <w:r w:rsidR="00F211E6">
        <w:rPr>
          <w:rFonts w:ascii="Times New Roman" w:hAnsi="Times New Roman" w:cs="Times New Roman"/>
          <w:sz w:val="28"/>
          <w:szCs w:val="28"/>
        </w:rPr>
        <w:t>123б</w:t>
      </w:r>
      <w:r w:rsidRPr="00D9432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32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211E6" w:rsidRPr="00F211E6">
        <w:rPr>
          <w:rFonts w:ascii="Times New Roman" w:hAnsi="Times New Roman" w:cs="Times New Roman"/>
          <w:sz w:val="28"/>
          <w:szCs w:val="28"/>
        </w:rPr>
        <w:t>«О создании единой комиссии по осуществлению закупок для нужд администрации МО «Рождественского сельского поселения Гатчинского муниципального района Ленинградской области»».</w:t>
      </w:r>
    </w:p>
    <w:p w:rsidR="00D94326" w:rsidRDefault="00D94326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51A7" w:rsidRPr="002F51A7">
        <w:rPr>
          <w:rFonts w:ascii="Times New Roman" w:hAnsi="Times New Roman" w:cs="Times New Roman"/>
          <w:sz w:val="28"/>
          <w:szCs w:val="28"/>
        </w:rPr>
        <w:t>Утвердить новый состав комиссии с учетом изменений, внесенных настоящим постановлением</w:t>
      </w:r>
      <w:r w:rsidR="002F51A7">
        <w:rPr>
          <w:rFonts w:ascii="Times New Roman" w:hAnsi="Times New Roman" w:cs="Times New Roman"/>
          <w:sz w:val="28"/>
          <w:szCs w:val="28"/>
        </w:rPr>
        <w:t>.</w:t>
      </w:r>
    </w:p>
    <w:p w:rsidR="00D530D6" w:rsidRPr="005A144B" w:rsidRDefault="002F51A7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D2E">
        <w:rPr>
          <w:rFonts w:ascii="Times New Roman" w:hAnsi="Times New Roman" w:cs="Times New Roman"/>
          <w:sz w:val="28"/>
          <w:szCs w:val="28"/>
        </w:rPr>
        <w:t>.</w:t>
      </w:r>
      <w:r w:rsidR="00D530D6" w:rsidRPr="00ED6A4D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ED6A4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>
        <w:rPr>
          <w:rFonts w:ascii="Times New Roman" w:hAnsi="Times New Roman" w:cs="Times New Roman"/>
          <w:sz w:val="28"/>
          <w:szCs w:val="28"/>
        </w:rPr>
        <w:t>. П</w:t>
      </w:r>
      <w:r w:rsidR="00104C1E" w:rsidRPr="00ED6A4D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104C1E" w:rsidRPr="00133F8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7D3F8D" w:rsidRPr="00133F81">
        <w:rPr>
          <w:rFonts w:ascii="Times New Roman" w:hAnsi="Times New Roman" w:cs="Times New Roman"/>
          <w:sz w:val="28"/>
          <w:szCs w:val="28"/>
        </w:rPr>
        <w:t xml:space="preserve"> в </w:t>
      </w:r>
      <w:r w:rsidR="00AF4C47">
        <w:rPr>
          <w:rFonts w:ascii="Times New Roman" w:hAnsi="Times New Roman" w:cs="Times New Roman"/>
          <w:sz w:val="28"/>
          <w:szCs w:val="28"/>
        </w:rPr>
        <w:t>информационном бюллетене «Рождественский вестник»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AF4C47">
        <w:rPr>
          <w:rFonts w:ascii="Times New Roman" w:hAnsi="Times New Roman" w:cs="Times New Roman"/>
          <w:sz w:val="28"/>
          <w:szCs w:val="28"/>
        </w:rPr>
        <w:t>ю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на официальном сайте администрации Рождественского сельского поселения.</w:t>
      </w:r>
    </w:p>
    <w:p w:rsidR="001D7977" w:rsidRDefault="002F51A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CF356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01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Глав</w:t>
      </w:r>
      <w:r w:rsidR="00E3201B">
        <w:rPr>
          <w:rFonts w:ascii="Times New Roman" w:hAnsi="Times New Roman" w:cs="Times New Roman"/>
          <w:sz w:val="28"/>
          <w:szCs w:val="28"/>
        </w:rPr>
        <w:t>а</w:t>
      </w:r>
      <w:r w:rsidRPr="00CF3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                С.</w:t>
      </w:r>
      <w:r w:rsidR="00E3201B">
        <w:rPr>
          <w:rFonts w:ascii="Times New Roman" w:hAnsi="Times New Roman" w:cs="Times New Roman"/>
          <w:sz w:val="28"/>
          <w:szCs w:val="28"/>
        </w:rPr>
        <w:t>Н.Сорокин</w:t>
      </w:r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063DD3" w:rsidRDefault="00063DD3" w:rsidP="005A144B"/>
    <w:p w:rsidR="002F51A7" w:rsidRDefault="002F51A7" w:rsidP="005A144B"/>
    <w:p w:rsidR="00063DD3" w:rsidRPr="002F51A7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</w:rPr>
      </w:pPr>
      <w:r w:rsidRPr="002F51A7">
        <w:rPr>
          <w:rFonts w:ascii="Times New Roman" w:hAnsi="Times New Roman" w:cs="Times New Roman"/>
        </w:rPr>
        <w:t>Приложение № 1</w:t>
      </w:r>
      <w:r w:rsidR="00063DD3" w:rsidRPr="002F51A7">
        <w:rPr>
          <w:rFonts w:ascii="Times New Roman" w:eastAsia="Times New Roman" w:hAnsi="Times New Roman" w:cs="Times New Roman"/>
        </w:rPr>
        <w:t xml:space="preserve">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«О внесении изменении </w:t>
      </w:r>
    </w:p>
    <w:p w:rsid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>в постановление№79 от 30.04.2014 г.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(в редакции №450 от 20 декабря 2021г.)</w:t>
      </w:r>
    </w:p>
    <w:p w:rsid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>«О создании единой комиссии по осуществлению</w:t>
      </w:r>
    </w:p>
    <w:p w:rsid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закупок для нужд администрации МО</w:t>
      </w:r>
    </w:p>
    <w:p w:rsid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«Рождественского сельского поселения Гатчинского</w:t>
      </w:r>
    </w:p>
    <w:p w:rsidR="00063DD3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муниципального района Ленинградской области»».</w:t>
      </w:r>
      <w:r w:rsidR="00063DD3" w:rsidRPr="00063DD3">
        <w:rPr>
          <w:rFonts w:ascii="Times New Roman" w:hAnsi="Times New Roman" w:cs="Times New Roman"/>
        </w:rPr>
        <w:t xml:space="preserve"> 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 w:rsidR="00F211E6">
        <w:rPr>
          <w:rFonts w:ascii="Times New Roman" w:hAnsi="Times New Roman" w:cs="Times New Roman"/>
        </w:rPr>
        <w:t>08 апреля</w:t>
      </w:r>
      <w:r w:rsidR="0084015F">
        <w:rPr>
          <w:rFonts w:ascii="Times New Roman" w:hAnsi="Times New Roman" w:cs="Times New Roman"/>
        </w:rPr>
        <w:t xml:space="preserve"> </w:t>
      </w:r>
      <w:r w:rsidR="00676F16" w:rsidRPr="00133F81">
        <w:rPr>
          <w:rFonts w:ascii="Times New Roman" w:hAnsi="Times New Roman" w:cs="Times New Roman"/>
        </w:rPr>
        <w:t>20</w:t>
      </w:r>
      <w:r w:rsidR="00781DBE">
        <w:rPr>
          <w:rFonts w:ascii="Times New Roman" w:hAnsi="Times New Roman" w:cs="Times New Roman"/>
        </w:rPr>
        <w:t>2</w:t>
      </w:r>
      <w:r w:rsidR="00D94326">
        <w:rPr>
          <w:rFonts w:ascii="Times New Roman" w:hAnsi="Times New Roman" w:cs="Times New Roman"/>
        </w:rPr>
        <w:t>2</w:t>
      </w:r>
      <w:r w:rsidR="001D7977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>г. №</w:t>
      </w:r>
      <w:r w:rsidR="0044394B">
        <w:rPr>
          <w:rFonts w:ascii="Times New Roman" w:hAnsi="Times New Roman" w:cs="Times New Roman"/>
        </w:rPr>
        <w:t xml:space="preserve"> </w:t>
      </w:r>
      <w:r w:rsidR="00F211E6">
        <w:rPr>
          <w:rFonts w:ascii="Times New Roman" w:hAnsi="Times New Roman" w:cs="Times New Roman"/>
        </w:rPr>
        <w:t>123б</w:t>
      </w:r>
    </w:p>
    <w:p w:rsidR="00063DD3" w:rsidRPr="00063DD3" w:rsidRDefault="00063DD3" w:rsidP="00063DD3">
      <w:pPr>
        <w:spacing w:after="0" w:line="240" w:lineRule="atLeast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63" w:rsidRPr="00D94326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Положение о Единой комиссии</w:t>
      </w:r>
    </w:p>
    <w:p w:rsidR="00987563" w:rsidRPr="00D94326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 осуществлению закупок для нужд</w:t>
      </w:r>
    </w:p>
    <w:p w:rsidR="00987563" w:rsidRPr="00D94326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</w:t>
      </w:r>
      <w:r w:rsid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ции муниципального образования </w:t>
      </w: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Рождественского сельского поселения Гатчинского муниципально</w:t>
      </w:r>
      <w:r w:rsid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 района Ленинградской области</w:t>
      </w:r>
    </w:p>
    <w:p w:rsidR="00987563" w:rsidRPr="00987563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563" w:rsidRPr="00987563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муниципального образования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t>Рождественского сельского поселения Гатчинского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района Ленинградской области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1.3. Основные понятия: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физическое лицо, в том числе зарегистрированное в качестве индивидуального предпринимателя;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лучшие условия исполнения контракта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Правовое регулирование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распоряжениями заказчика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 положением.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создания и принципы работы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3.1. Комиссия создается в целях проведения: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конкурсов: электронный конкурс, закрытый электронный конкурс;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аукционов: электронный аукцион, закрытый электронный аукцион;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электронных запросов котировок.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 В своей деятельности Комиссия руководствуется следующими принципами.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Функции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ЭЛЕКТРОННЫЙ КОНКУРС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94326" w:rsidRPr="00D94326" w:rsidRDefault="00D94326" w:rsidP="00D94326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94326" w:rsidRPr="00D94326" w:rsidRDefault="00D94326" w:rsidP="00D94326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94326" w:rsidRPr="00D94326" w:rsidRDefault="00D94326" w:rsidP="00D94326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научно-исследовательских, опытно-конструкторских и технологических работ;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 создание произведения литературы или искусства;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заявок на участие в закупке, установленной в извещении об осуществлении закупки 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в закупке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D94326" w:rsidRPr="00D94326" w:rsidRDefault="00D94326" w:rsidP="00D9432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94326" w:rsidRPr="00D94326" w:rsidRDefault="00D94326" w:rsidP="00D94326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94326" w:rsidRPr="00D94326" w:rsidRDefault="00D94326" w:rsidP="00D94326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94326" w:rsidRPr="00D94326" w:rsidRDefault="00D94326" w:rsidP="00D94326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ЭЛЕКТРОННЫЙ АУКЦИОН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площадки,  и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решение о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94326" w:rsidRPr="00D94326" w:rsidRDefault="00D94326" w:rsidP="00D94326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D94326">
        <w:rPr>
          <w:rFonts w:ascii="Times New Roman" w:hAnsi="Times New Roman" w:cs="Times New Roman"/>
          <w:color w:val="000000"/>
          <w:sz w:val="24"/>
          <w:szCs w:val="24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94326" w:rsidRPr="00D94326" w:rsidRDefault="00D94326" w:rsidP="00D94326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ЭЛЕКТРОННЫЙ ЗАПРОС КОТИРОВОК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94326" w:rsidRPr="00D94326" w:rsidRDefault="00D94326" w:rsidP="00D94326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94326" w:rsidRPr="00D94326" w:rsidRDefault="00D94326" w:rsidP="00D94326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ЗАКРЫТЫЙ ЭЛЕКТРОННЫЙ КОНКУРС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94326" w:rsidRPr="00D94326" w:rsidRDefault="00D94326" w:rsidP="00D94326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94326" w:rsidRPr="00D94326" w:rsidRDefault="00D94326" w:rsidP="00D94326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94326" w:rsidRPr="00D94326" w:rsidRDefault="00D94326" w:rsidP="00D94326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94326" w:rsidRPr="00D94326" w:rsidRDefault="00D94326" w:rsidP="00D94326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94326" w:rsidRPr="00D94326" w:rsidRDefault="00D94326" w:rsidP="00D94326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ЗАКРЫТЫЙ ЭЛЕКТРОННЫЙ АУКЦИОН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94326" w:rsidRPr="00D94326" w:rsidRDefault="00D94326" w:rsidP="00D94326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94326" w:rsidRPr="00D94326" w:rsidRDefault="00D94326" w:rsidP="00D94326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94326" w:rsidRPr="00D94326" w:rsidRDefault="00D94326" w:rsidP="00D94326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D94326">
        <w:rPr>
          <w:rFonts w:ascii="Times New Roman" w:hAnsi="Times New Roman" w:cs="Times New Roman"/>
          <w:color w:val="000000"/>
          <w:sz w:val="24"/>
          <w:szCs w:val="24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D94326" w:rsidRPr="00D94326" w:rsidRDefault="00D94326" w:rsidP="00D94326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создания и работы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Число членов Комиссии должно быть не менее трех человек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5.5. Членами комиссии не могут быть: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состоящие в браке с руководителем участника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неполнородными</w:t>
      </w:r>
      <w:proofErr w:type="spell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5.6. Замена члена комиссии допускается только по решению заказчика.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5.9. Председатель Комиссии либо лицо, его замещающее: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осуществляет общее руководство работой Комиссии и обеспечивает выполнение настоящего положения;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открывает и ведет заседания Комиссии, объявляет перерывы;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в случае необходимости выносит на обсуждение Комиссии вопрос о привлечении к работе экспертов.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Права, обязанности и ответственность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6.1. Члены Комиссии вправе: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выступать по вопросам повестки дня на заседаниях Комиссии;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6.2. Члены Комиссии обязаны: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принимать решения в пределах своей компетенции.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Решение Комиссии, принятое в нарушение требований Закона № 44-ФЗ</w:t>
      </w:r>
      <w:r w:rsidRPr="00D94326">
        <w:rPr>
          <w:rFonts w:ascii="Times New Roman" w:hAnsi="Times New Roman" w:cs="Times New Roman"/>
        </w:rPr>
        <w:br/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063DD3" w:rsidRDefault="00063DD3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Pr="002F51A7" w:rsidRDefault="002F51A7" w:rsidP="002F51A7">
      <w:pPr>
        <w:spacing w:after="0" w:line="240" w:lineRule="atLeast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2F51A7">
        <w:rPr>
          <w:rFonts w:ascii="Times New Roman" w:eastAsia="Times New Roman" w:hAnsi="Times New Roman" w:cs="Times New Roman"/>
        </w:rPr>
        <w:t xml:space="preserve"> </w:t>
      </w:r>
    </w:p>
    <w:p w:rsidR="002F51A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2F51A7" w:rsidRPr="00063DD3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«О внесении изменении 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>в постановление№79 от 30.04.2014 г.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(в редакции №450 от 20 декабря 2021г.)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>«О создании единой комиссии по осуществлению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закупок для нужд администрации МО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«Рождественского сельского поселения Гатчинского</w:t>
      </w:r>
    </w:p>
    <w:p w:rsidR="00F211E6" w:rsidRPr="00F211E6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 xml:space="preserve"> муниципального района Ленинградской области»». </w:t>
      </w:r>
    </w:p>
    <w:p w:rsidR="002F51A7" w:rsidRPr="00063DD3" w:rsidRDefault="00F211E6" w:rsidP="00F211E6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F211E6">
        <w:rPr>
          <w:rFonts w:ascii="Times New Roman" w:hAnsi="Times New Roman" w:cs="Times New Roman"/>
        </w:rPr>
        <w:t>от 08 апреля 2022 г. № 123б</w:t>
      </w: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2F51A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Постоянный состав Единой комиссии по осуществлению закупок для обеспечения нужд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Гатчинского 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района Ленинградской области.</w:t>
      </w:r>
    </w:p>
    <w:p w:rsidR="002F51A7" w:rsidRPr="002F51A7" w:rsidRDefault="002F51A7" w:rsidP="002F51A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Петрова Людмила Алексеевна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(главный бухгалтер) администрации Рождественского сельского поселения;</w:t>
      </w: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2F51A7" w:rsidRPr="00063DD3" w:rsidRDefault="00F211E6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Агафонов Сергей Владимирович</w:t>
      </w:r>
      <w:r w:rsidR="002F51A7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2F51A7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  <w:r w:rsidR="002F51A7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1A7" w:rsidRPr="00063DD3" w:rsidRDefault="002F51A7" w:rsidP="002F51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1A7" w:rsidRPr="00063DD3" w:rsidRDefault="002F51A7" w:rsidP="002F51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2F51A7" w:rsidRPr="00063DD3" w:rsidRDefault="00F211E6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Сорокин Сергей Николаевич</w:t>
      </w:r>
      <w:r w:rsidR="002F51A7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2F51A7">
        <w:rPr>
          <w:rFonts w:ascii="Times New Roman" w:hAnsi="Times New Roman" w:cs="Times New Roman"/>
          <w:sz w:val="24"/>
          <w:szCs w:val="24"/>
        </w:rPr>
        <w:t xml:space="preserve">а администрации Рождественского сельского поселения </w:t>
      </w:r>
      <w:r w:rsidR="002F51A7" w:rsidRPr="002F51A7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="002F51A7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1A7" w:rsidRPr="00063DD3" w:rsidRDefault="002F51A7" w:rsidP="002F51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1A7" w:rsidRDefault="002F51A7" w:rsidP="002F5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Функции секретаря Единой комиссии возложить на ведущего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Мичурину Валентину Владимировну </w:t>
      </w:r>
      <w:r w:rsidRPr="002F51A7">
        <w:rPr>
          <w:rFonts w:ascii="Times New Roman" w:hAnsi="Times New Roman" w:cs="Times New Roman"/>
          <w:sz w:val="24"/>
          <w:szCs w:val="24"/>
        </w:rPr>
        <w:t>– ведущего специалиста администрации Рождественского сельского поселения Гатчинского муниципального района Ленинградской области.</w:t>
      </w: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Pr="00D94326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1A7" w:rsidRPr="00D94326" w:rsidSect="00B750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EB" w:rsidRDefault="00C37FEB" w:rsidP="00E91063">
      <w:pPr>
        <w:spacing w:after="0" w:line="240" w:lineRule="auto"/>
      </w:pPr>
      <w:r>
        <w:separator/>
      </w:r>
    </w:p>
  </w:endnote>
  <w:endnote w:type="continuationSeparator" w:id="0">
    <w:p w:rsidR="00C37FEB" w:rsidRDefault="00C37FEB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63" w:rsidRPr="00987563" w:rsidRDefault="00987563">
    <w:pPr>
      <w:pStyle w:val="a9"/>
      <w:rPr>
        <w:sz w:val="16"/>
        <w:szCs w:val="16"/>
      </w:rPr>
    </w:pPr>
    <w:r>
      <w:rPr>
        <w:sz w:val="16"/>
        <w:szCs w:val="16"/>
      </w:rPr>
      <w:t xml:space="preserve">Исп.: </w:t>
    </w:r>
    <w:r w:rsidR="00F211E6">
      <w:rPr>
        <w:sz w:val="16"/>
        <w:szCs w:val="16"/>
      </w:rPr>
      <w:t>Мичурина В.В</w:t>
    </w:r>
    <w:r w:rsidRPr="00987563">
      <w:rPr>
        <w:sz w:val="16"/>
        <w:szCs w:val="16"/>
      </w:rPr>
      <w:t>. 8(81371) 62-320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EB" w:rsidRDefault="00C37FEB" w:rsidP="00E91063">
      <w:pPr>
        <w:spacing w:after="0" w:line="240" w:lineRule="auto"/>
      </w:pPr>
      <w:r>
        <w:separator/>
      </w:r>
    </w:p>
  </w:footnote>
  <w:footnote w:type="continuationSeparator" w:id="0">
    <w:p w:rsidR="00C37FEB" w:rsidRDefault="00C37FEB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2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81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E46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67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F7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77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326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271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B0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65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3036"/>
    <w:rsid w:val="0004584E"/>
    <w:rsid w:val="00063DD3"/>
    <w:rsid w:val="00070571"/>
    <w:rsid w:val="00086425"/>
    <w:rsid w:val="000D016A"/>
    <w:rsid w:val="000D3094"/>
    <w:rsid w:val="001040F5"/>
    <w:rsid w:val="00104C1E"/>
    <w:rsid w:val="00133F81"/>
    <w:rsid w:val="00140D2D"/>
    <w:rsid w:val="00163480"/>
    <w:rsid w:val="0016374A"/>
    <w:rsid w:val="00170DFA"/>
    <w:rsid w:val="001C59AB"/>
    <w:rsid w:val="001D7977"/>
    <w:rsid w:val="0029605D"/>
    <w:rsid w:val="002E2308"/>
    <w:rsid w:val="002E4504"/>
    <w:rsid w:val="002E789C"/>
    <w:rsid w:val="002F51A7"/>
    <w:rsid w:val="00322370"/>
    <w:rsid w:val="00367587"/>
    <w:rsid w:val="00371614"/>
    <w:rsid w:val="00377A51"/>
    <w:rsid w:val="00391DC5"/>
    <w:rsid w:val="003B5682"/>
    <w:rsid w:val="003D5464"/>
    <w:rsid w:val="003E13B9"/>
    <w:rsid w:val="0040518E"/>
    <w:rsid w:val="0042664D"/>
    <w:rsid w:val="0044394B"/>
    <w:rsid w:val="004728F0"/>
    <w:rsid w:val="00492A4C"/>
    <w:rsid w:val="004C46EB"/>
    <w:rsid w:val="004C6B03"/>
    <w:rsid w:val="004D421D"/>
    <w:rsid w:val="00550474"/>
    <w:rsid w:val="0059206F"/>
    <w:rsid w:val="005A144B"/>
    <w:rsid w:val="005B5AF0"/>
    <w:rsid w:val="005E3128"/>
    <w:rsid w:val="005E4829"/>
    <w:rsid w:val="00676F16"/>
    <w:rsid w:val="006F7D91"/>
    <w:rsid w:val="00714577"/>
    <w:rsid w:val="00725B59"/>
    <w:rsid w:val="00730517"/>
    <w:rsid w:val="00753FFB"/>
    <w:rsid w:val="00781DBE"/>
    <w:rsid w:val="00782B0B"/>
    <w:rsid w:val="007D3F8D"/>
    <w:rsid w:val="007E7129"/>
    <w:rsid w:val="007F5104"/>
    <w:rsid w:val="00805CFF"/>
    <w:rsid w:val="00810D2E"/>
    <w:rsid w:val="00815CCD"/>
    <w:rsid w:val="0084015F"/>
    <w:rsid w:val="008578A9"/>
    <w:rsid w:val="008752A6"/>
    <w:rsid w:val="00891435"/>
    <w:rsid w:val="009279FE"/>
    <w:rsid w:val="00987563"/>
    <w:rsid w:val="00995088"/>
    <w:rsid w:val="009C4653"/>
    <w:rsid w:val="009F2276"/>
    <w:rsid w:val="00A07A81"/>
    <w:rsid w:val="00A27A1E"/>
    <w:rsid w:val="00A33408"/>
    <w:rsid w:val="00A75BFB"/>
    <w:rsid w:val="00AA051F"/>
    <w:rsid w:val="00AA3F62"/>
    <w:rsid w:val="00AF4C47"/>
    <w:rsid w:val="00B11C49"/>
    <w:rsid w:val="00B3127E"/>
    <w:rsid w:val="00B750E3"/>
    <w:rsid w:val="00B811A5"/>
    <w:rsid w:val="00B912ED"/>
    <w:rsid w:val="00BA5F1C"/>
    <w:rsid w:val="00BE6336"/>
    <w:rsid w:val="00C37FEB"/>
    <w:rsid w:val="00C475BB"/>
    <w:rsid w:val="00C60A2F"/>
    <w:rsid w:val="00CC25FF"/>
    <w:rsid w:val="00CF33B9"/>
    <w:rsid w:val="00CF356B"/>
    <w:rsid w:val="00D10B94"/>
    <w:rsid w:val="00D1420F"/>
    <w:rsid w:val="00D37A09"/>
    <w:rsid w:val="00D530D6"/>
    <w:rsid w:val="00D62337"/>
    <w:rsid w:val="00D94326"/>
    <w:rsid w:val="00DA674D"/>
    <w:rsid w:val="00DA6AAF"/>
    <w:rsid w:val="00DD0D01"/>
    <w:rsid w:val="00DD74D7"/>
    <w:rsid w:val="00DF3CD0"/>
    <w:rsid w:val="00E139D3"/>
    <w:rsid w:val="00E31C5A"/>
    <w:rsid w:val="00E3201B"/>
    <w:rsid w:val="00E373AF"/>
    <w:rsid w:val="00E42E64"/>
    <w:rsid w:val="00E45EB5"/>
    <w:rsid w:val="00E82867"/>
    <w:rsid w:val="00E91063"/>
    <w:rsid w:val="00EC113B"/>
    <w:rsid w:val="00ED6A4D"/>
    <w:rsid w:val="00ED7177"/>
    <w:rsid w:val="00EF3C6E"/>
    <w:rsid w:val="00F211E6"/>
    <w:rsid w:val="00F2358C"/>
    <w:rsid w:val="00F66081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3418"/>
  <w15:docId w15:val="{B1E58BEC-46F1-4833-B4BA-577E24E6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063"/>
  </w:style>
  <w:style w:type="paragraph" w:styleId="a9">
    <w:name w:val="footer"/>
    <w:basedOn w:val="a"/>
    <w:link w:val="aa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Лысянская Наталья Александровна</cp:lastModifiedBy>
  <cp:revision>35</cp:revision>
  <cp:lastPrinted>2022-05-05T13:45:00Z</cp:lastPrinted>
  <dcterms:created xsi:type="dcterms:W3CDTF">2018-04-16T07:22:00Z</dcterms:created>
  <dcterms:modified xsi:type="dcterms:W3CDTF">2022-05-05T13:45:00Z</dcterms:modified>
</cp:coreProperties>
</file>