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02" w:rsidRPr="00E21102" w:rsidRDefault="00E21102" w:rsidP="00E21102">
      <w:pPr>
        <w:shd w:val="clear" w:color="auto" w:fill="FFFFFF"/>
        <w:spacing w:after="0" w:line="405" w:lineRule="atLeast"/>
        <w:outlineLvl w:val="0"/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</w:pPr>
      <w:r w:rsidRPr="00E21102"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  <w:t>Цели и задачи для реализации подпрограмм</w:t>
      </w:r>
    </w:p>
    <w:p w:rsidR="00E21102" w:rsidRDefault="00E21102" w:rsidP="00E21102">
      <w:pPr>
        <w:shd w:val="clear" w:color="auto" w:fill="FFFFFF"/>
        <w:spacing w:after="24" w:line="257" w:lineRule="atLeast"/>
        <w:rPr>
          <w:rFonts w:ascii="Arial" w:eastAsia="Times New Roman" w:hAnsi="Arial" w:cs="Arial"/>
          <w:color w:val="323232"/>
          <w:sz w:val="17"/>
          <w:szCs w:val="17"/>
          <w:lang w:eastAsia="ru-RU"/>
        </w:rPr>
      </w:pPr>
      <w:bookmarkStart w:id="0" w:name="_GoBack"/>
      <w:bookmarkEnd w:id="0"/>
    </w:p>
    <w:p w:rsidR="00E21102" w:rsidRPr="00E21102" w:rsidRDefault="00E21102" w:rsidP="00E21102">
      <w:pPr>
        <w:shd w:val="clear" w:color="auto" w:fill="FFFFFF"/>
        <w:spacing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Цели и задачи для реализации подпрограмм: «Обеспечение жильем молодых семей» федеральной целевой программы «Жилище» на 2015-2020 годы», "Поддержка граждан, нуждающихся в улучшении жилищных условий, на основе принципов ипотечного кредитования в Ленинградской области", "Жилье для молодежи"</w:t>
      </w:r>
    </w:p>
    <w:p w:rsidR="00E21102" w:rsidRPr="00E21102" w:rsidRDefault="00E21102" w:rsidP="00E21102">
      <w:pPr>
        <w:shd w:val="clear" w:color="auto" w:fill="FFFFFF"/>
        <w:spacing w:before="24" w:after="150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Для достижения целей подпрограммы направлено решение следующих задач:</w:t>
      </w: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>1) Оказание поддержки гражданам, в том числе молодым гражданам (молодым семьям), нуждающимся в улучшении жилищных условий в приобретении жилья в виде предоставленных социальных выплат на строительство (приобретение) жилья, в том числе дополнительных социальных выплат в случае рождения (усыновления) детей;</w:t>
      </w: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>2) Оказание поддержки гражданам, нуждающимся в улучшении жилищных условий в виде предоставления социальных выплат для уплаты первоначального взноса по ипотечным жилищным кредитам, погашение основной суммы долга по ипотечным жилищным кредитам и для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</w: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>Для решения задач подпрограммой предусмотрена реализация следующих целевых мероприятий:</w:t>
      </w: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>1) 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годы;</w:t>
      </w: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>2) Предоставление социальных выплат на приобретение (строительство)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>3) Предоставление социальных выплат на приобретение (строительство) жилья, в том числе в рамках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>4) Предоставление компенсации части расходов по уплате процентов по ипотечному жилищному кредиту (займу), предоставленному на строительство (приобретение) жилья с использованием социальных выплат.</w:t>
      </w:r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 xml:space="preserve">Мероприятия подпрограммы будут представлены в положении «О порядке предоставления в рамках реализации подпрограммы «Поддержка граждан, в том числе молодежи, Гатчинского муниципального района, нуждающихся в улучшении жилищных условий в 2018 – 2020 гг.» муниципальной программы «Создание условий для обеспечения определенных категорий граждан жилыми помещениями в Гатчинском муниципальном районе в 2018-2020 </w:t>
      </w:r>
      <w:proofErr w:type="spellStart"/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гг.»социальных</w:t>
      </w:r>
      <w:proofErr w:type="spellEnd"/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выплат на строительство (приобретение) жилья молодым гражданам (молодым семьям)» и в положении «О порядке предоставления в рамках реализации подпрограммы «Поддержка граждан, в том числе молодежи Гатчинского муниципального района, нуждающихся в улучшении жилищных условий в 2018 – 2020 </w:t>
      </w:r>
      <w:proofErr w:type="spellStart"/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гг</w:t>
      </w:r>
      <w:proofErr w:type="spellEnd"/>
      <w:r w:rsidRPr="00E2110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социальных выплат для уплаты первоначального взноса по ипотечным жилищным кредитам, погашение основной суммы долга по ипотечным жилищным кредитам, для компенсации части расходов, связанных с уплатой процентов по ипотечным жилищным кредитам, утвержденными постановлениями администрации Гатчинского муниципального района.</w:t>
      </w:r>
    </w:p>
    <w:p w:rsidR="007C1856" w:rsidRDefault="007C1856"/>
    <w:sectPr w:rsidR="007C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stom-font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33E"/>
    <w:multiLevelType w:val="multilevel"/>
    <w:tmpl w:val="124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02"/>
    <w:rsid w:val="007C1856"/>
    <w:rsid w:val="00E2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FB67-1568-4FE3-8EFF-4BCF7BD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46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2973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2020-03-28T19:28:00Z</dcterms:created>
  <dcterms:modified xsi:type="dcterms:W3CDTF">2020-03-28T19:29:00Z</dcterms:modified>
</cp:coreProperties>
</file>